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C" w:rsidRPr="00A376FC" w:rsidRDefault="00A376FC" w:rsidP="00564489">
      <w:pPr>
        <w:spacing w:after="0" w:line="360" w:lineRule="auto"/>
        <w:jc w:val="both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45545D" w:rsidRDefault="0045545D" w:rsidP="0045545D">
      <w:pPr>
        <w:jc w:val="center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בצלאל אקדמיה לעיצוב ואמנות ירושלים</w:t>
      </w:r>
    </w:p>
    <w:p w:rsidR="0045545D" w:rsidRDefault="0045545D" w:rsidP="0045545D">
      <w:pPr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שם הקורס</w:t>
      </w:r>
      <w:r w:rsidRPr="00A376F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A376FC" w:rsidRPr="00A376FC">
        <w:rPr>
          <w:rFonts w:cs="David"/>
          <w:sz w:val="24"/>
          <w:szCs w:val="24"/>
          <w:rtl/>
        </w:rPr>
        <w:t>אמנות פוגשת חברה פוגשת אמנות</w:t>
      </w:r>
    </w:p>
    <w:p w:rsidR="00963431" w:rsidRDefault="00963431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שם המרצה</w:t>
      </w:r>
      <w:r w:rsidRPr="00A376FC">
        <w:rPr>
          <w:rFonts w:ascii="David" w:hAnsi="David" w:cs="David"/>
          <w:b/>
          <w:bCs/>
          <w:sz w:val="24"/>
          <w:szCs w:val="24"/>
          <w:rtl/>
        </w:rPr>
        <w:t>:</w:t>
      </w:r>
      <w:r w:rsidRPr="006441D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376FC" w:rsidRPr="00A376FC">
        <w:rPr>
          <w:rFonts w:ascii="David" w:hAnsi="David" w:cs="David" w:hint="cs"/>
          <w:sz w:val="24"/>
          <w:szCs w:val="24"/>
          <w:rtl/>
        </w:rPr>
        <w:t>דליה מרקוביץ'</w:t>
      </w:r>
    </w:p>
    <w:p w:rsidR="0085093F" w:rsidRPr="0085093F" w:rsidRDefault="00726441" w:rsidP="0085093F">
      <w:pPr>
        <w:rPr>
          <w:rFonts w:asciiTheme="majorBidi" w:hAnsiTheme="majorBidi" w:cstheme="majorBidi"/>
          <w:sz w:val="24"/>
          <w:szCs w:val="24"/>
        </w:rPr>
      </w:pPr>
      <w:hyperlink r:id="rId6" w:history="1">
        <w:r w:rsidR="0085093F" w:rsidRPr="0085093F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dalyama@mli.org.il</w:t>
        </w:r>
      </w:hyperlink>
    </w:p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היקף הקורס</w:t>
      </w:r>
      <w:r w:rsidR="003834A1"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בנ"ז</w:t>
      </w:r>
      <w:r w:rsidRPr="00A376FC">
        <w:rPr>
          <w:rFonts w:ascii="David" w:hAnsi="David" w:cs="David"/>
          <w:b/>
          <w:bCs/>
          <w:sz w:val="24"/>
          <w:szCs w:val="24"/>
          <w:rtl/>
        </w:rPr>
        <w:t>:</w:t>
      </w:r>
      <w:r w:rsidRPr="003D653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376FC">
        <w:rPr>
          <w:rFonts w:ascii="David" w:hAnsi="David" w:cs="David" w:hint="cs"/>
          <w:sz w:val="24"/>
          <w:szCs w:val="24"/>
          <w:rtl/>
        </w:rPr>
        <w:t>2 נ"ז</w:t>
      </w:r>
    </w:p>
    <w:p w:rsidR="003834A1" w:rsidRPr="00A376FC" w:rsidRDefault="00A376FC" w:rsidP="0056448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t>היקף הקורס</w:t>
      </w:r>
      <w:r w:rsidR="003834A1" w:rsidRPr="00A376FC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A376FC">
        <w:rPr>
          <w:rFonts w:ascii="David" w:hAnsi="David" w:cs="David" w:hint="cs"/>
          <w:sz w:val="24"/>
          <w:szCs w:val="24"/>
          <w:rtl/>
        </w:rPr>
        <w:t>1 ש"ש</w:t>
      </w:r>
    </w:p>
    <w:p w:rsidR="00963431" w:rsidRPr="00A376FC" w:rsidRDefault="00963431" w:rsidP="00A376F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סוג הקורס</w:t>
      </w:r>
      <w:r w:rsidRPr="00A376FC">
        <w:rPr>
          <w:rFonts w:ascii="David" w:hAnsi="David" w:cs="David"/>
          <w:b/>
          <w:bCs/>
          <w:sz w:val="24"/>
          <w:szCs w:val="24"/>
          <w:rtl/>
        </w:rPr>
        <w:t>:</w:t>
      </w:r>
      <w:r w:rsidRPr="00A376FC">
        <w:rPr>
          <w:rFonts w:ascii="David" w:hAnsi="David" w:cs="David"/>
          <w:sz w:val="24"/>
          <w:szCs w:val="24"/>
          <w:rtl/>
        </w:rPr>
        <w:t xml:space="preserve"> </w:t>
      </w:r>
      <w:r w:rsidR="00A376FC">
        <w:rPr>
          <w:rFonts w:ascii="David" w:hAnsi="David" w:cs="David" w:hint="cs"/>
          <w:sz w:val="24"/>
          <w:szCs w:val="24"/>
          <w:rtl/>
        </w:rPr>
        <w:t>בחירה</w:t>
      </w:r>
    </w:p>
    <w:p w:rsidR="00F74CCA" w:rsidRPr="00A376FC" w:rsidRDefault="00F74CCA" w:rsidP="00A376FC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שנת הלימוד</w:t>
      </w:r>
      <w:r w:rsidRPr="00A376FC">
        <w:rPr>
          <w:rFonts w:ascii="David" w:hAnsi="David" w:cs="David"/>
          <w:b/>
          <w:bCs/>
          <w:sz w:val="24"/>
          <w:szCs w:val="24"/>
          <w:rtl/>
        </w:rPr>
        <w:t>:</w:t>
      </w:r>
      <w:r w:rsidRPr="003D653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376FC" w:rsidRPr="003D6534">
        <w:rPr>
          <w:rFonts w:ascii="David" w:hAnsi="David" w:cs="David" w:hint="cs"/>
          <w:sz w:val="24"/>
          <w:szCs w:val="24"/>
          <w:rtl/>
        </w:rPr>
        <w:t>ב', ג'</w:t>
      </w:r>
    </w:p>
    <w:p w:rsidR="00F74CCA" w:rsidRPr="003D6534" w:rsidRDefault="00F74CCA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סמסטר</w:t>
      </w:r>
      <w:r w:rsidRPr="00A376FC">
        <w:rPr>
          <w:rFonts w:ascii="David" w:hAnsi="David" w:cs="David"/>
          <w:b/>
          <w:bCs/>
          <w:sz w:val="24"/>
          <w:szCs w:val="24"/>
          <w:rtl/>
        </w:rPr>
        <w:t>:</w:t>
      </w:r>
      <w:r w:rsidRPr="003D653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A376FC" w:rsidRPr="003D6534">
        <w:rPr>
          <w:rFonts w:ascii="David" w:hAnsi="David" w:cs="David" w:hint="cs"/>
          <w:sz w:val="24"/>
          <w:szCs w:val="24"/>
          <w:rtl/>
        </w:rPr>
        <w:t>ב'</w:t>
      </w:r>
    </w:p>
    <w:p w:rsidR="00326EE0" w:rsidRPr="00A376FC" w:rsidRDefault="00326EE0" w:rsidP="0056448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963431" w:rsidRPr="00A376FC" w:rsidRDefault="00564489" w:rsidP="0056448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תמצית הקורס ומטרותיו</w:t>
      </w:r>
      <w:r w:rsidR="00963431"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="00963431" w:rsidRPr="00A376FC">
        <w:rPr>
          <w:rFonts w:ascii="David" w:hAnsi="David" w:cs="David"/>
          <w:sz w:val="24"/>
          <w:szCs w:val="24"/>
          <w:rtl/>
        </w:rPr>
        <w:t xml:space="preserve"> </w:t>
      </w:r>
    </w:p>
    <w:p w:rsidR="0045545D" w:rsidRDefault="0045545D" w:rsidP="0045545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הקשר בין אמנות לחברה נדון מבעד לתפיסות שונות ומנוגדות. האמנות והאיכות האמנותית הוגדרו כתוצר של מערך מוסדי מורכב המופעל באמצעות מומחים וברי סמכא; כ</w:t>
      </w:r>
      <w:r>
        <w:rPr>
          <w:rFonts w:cs="David" w:hint="cs"/>
          <w:sz w:val="24"/>
          <w:szCs w:val="24"/>
          <w:rtl/>
        </w:rPr>
        <w:t>אפקט</w:t>
      </w:r>
      <w:r>
        <w:rPr>
          <w:rFonts w:cs="David"/>
          <w:sz w:val="24"/>
          <w:szCs w:val="24"/>
          <w:rtl/>
        </w:rPr>
        <w:t xml:space="preserve"> של תהליכי חיברוּת (למידה וחניכה); כאמצעי המתניע ביקורת מוסדית </w:t>
      </w:r>
      <w:r>
        <w:rPr>
          <w:rFonts w:cs="David" w:hint="cs"/>
          <w:sz w:val="24"/>
          <w:szCs w:val="24"/>
          <w:rtl/>
        </w:rPr>
        <w:t>פנים-אמנותית וביקורת חברתית-פוליטית</w:t>
      </w:r>
      <w:r>
        <w:rPr>
          <w:rFonts w:cs="David"/>
          <w:sz w:val="24"/>
          <w:szCs w:val="24"/>
          <w:rtl/>
        </w:rPr>
        <w:t xml:space="preserve">; וכצורת מפגש, התכנסות, חשיבה ודיון המתפקדים כאתר של פוטנציאל (מחשבתי ופרקטי) הנוגע ברעיונות ובתפיסות הנטועים מחוץ להקשרים אמנותיים מובהקים (למשל: חברה, פוליטיקה, אקולוגיה ועוד) ודפוסי חקירה מקובלים. </w:t>
      </w:r>
    </w:p>
    <w:p w:rsidR="0045545D" w:rsidRDefault="0045545D" w:rsidP="0045545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הקורס יוקדש לבחינת זיקות גומלין אלה, לתנאים הסוציו-היסטוריים לאורם הובנו ולהיתרים והמגבלות הטמונים בהם וזאת בתחום האמנות הפלסטית בפרט והתרבות בכלל. </w:t>
      </w:r>
    </w:p>
    <w:p w:rsidR="0045545D" w:rsidRDefault="0045545D" w:rsidP="0045545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95B3B">
        <w:rPr>
          <w:rFonts w:asciiTheme="majorBidi" w:hAnsiTheme="majorBidi" w:cstheme="majorBidi"/>
          <w:sz w:val="24"/>
          <w:szCs w:val="24"/>
        </w:rPr>
        <w:t>The link between art and society has been discussed through diverse and contrasting approaches. Art and artistic quality have been defined as the product of a complex institutional configuration operating through experts and authorities independently of any necessary and fixed qualities or characteristics inherent to the work</w:t>
      </w:r>
      <w:r>
        <w:rPr>
          <w:rFonts w:asciiTheme="majorBidi" w:hAnsiTheme="majorBidi" w:cstheme="majorBidi"/>
          <w:sz w:val="24"/>
          <w:szCs w:val="24"/>
        </w:rPr>
        <w:t>. A</w:t>
      </w:r>
      <w:r w:rsidRPr="00295B3B">
        <w:rPr>
          <w:rFonts w:asciiTheme="majorBidi" w:hAnsiTheme="majorBidi" w:cstheme="majorBidi"/>
          <w:sz w:val="24"/>
          <w:szCs w:val="24"/>
        </w:rPr>
        <w:t xml:space="preserve">rt and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295B3B">
        <w:rPr>
          <w:rFonts w:asciiTheme="majorBidi" w:hAnsiTheme="majorBidi" w:cstheme="majorBidi"/>
          <w:sz w:val="24"/>
          <w:szCs w:val="24"/>
        </w:rPr>
        <w:t xml:space="preserve">nature </w:t>
      </w:r>
      <w:r>
        <w:rPr>
          <w:rFonts w:asciiTheme="majorBidi" w:hAnsiTheme="majorBidi" w:cstheme="majorBidi"/>
          <w:sz w:val="24"/>
          <w:szCs w:val="24"/>
        </w:rPr>
        <w:t xml:space="preserve">of art </w:t>
      </w:r>
      <w:r w:rsidRPr="00295B3B">
        <w:rPr>
          <w:rFonts w:asciiTheme="majorBidi" w:hAnsiTheme="majorBidi" w:cstheme="majorBidi"/>
          <w:sz w:val="24"/>
          <w:szCs w:val="24"/>
        </w:rPr>
        <w:t>have been defined as the product of processes of socialization (learning and initiation) that make it possible to identify an object as a work of art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5B3B">
        <w:rPr>
          <w:rFonts w:asciiTheme="majorBidi" w:hAnsiTheme="majorBidi" w:cstheme="majorBidi"/>
          <w:sz w:val="24"/>
          <w:szCs w:val="24"/>
        </w:rPr>
        <w:t>and reveal its supposedly hidden significance and meaning</w:t>
      </w:r>
      <w:r>
        <w:rPr>
          <w:rFonts w:asciiTheme="majorBidi" w:hAnsiTheme="majorBidi" w:cstheme="majorBidi"/>
          <w:sz w:val="24"/>
          <w:szCs w:val="24"/>
        </w:rPr>
        <w:t>. A</w:t>
      </w:r>
      <w:r w:rsidRPr="00295B3B">
        <w:rPr>
          <w:rFonts w:asciiTheme="majorBidi" w:hAnsiTheme="majorBidi" w:cstheme="majorBidi"/>
          <w:sz w:val="24"/>
          <w:szCs w:val="24"/>
        </w:rPr>
        <w:t>rt has been defined as a means for instigating a systematic institutional critique of the modes of production and representation of the artistic object and sphere</w:t>
      </w:r>
      <w:r>
        <w:rPr>
          <w:rFonts w:asciiTheme="majorBidi" w:hAnsiTheme="majorBidi" w:cstheme="majorBidi"/>
          <w:sz w:val="24"/>
          <w:szCs w:val="24"/>
        </w:rPr>
        <w:t xml:space="preserve"> while</w:t>
      </w:r>
      <w:r w:rsidRPr="00295B3B">
        <w:rPr>
          <w:rFonts w:asciiTheme="majorBidi" w:hAnsiTheme="majorBidi" w:cstheme="majorBidi"/>
          <w:sz w:val="24"/>
          <w:szCs w:val="24"/>
        </w:rPr>
        <w:t xml:space="preserve"> exposing hidden structures, dominant forces, foundational narratives, </w:t>
      </w:r>
      <w:r>
        <w:rPr>
          <w:rFonts w:asciiTheme="majorBidi" w:hAnsiTheme="majorBidi" w:cstheme="majorBidi"/>
          <w:sz w:val="24"/>
          <w:szCs w:val="24"/>
        </w:rPr>
        <w:t xml:space="preserve">social </w:t>
      </w:r>
      <w:r w:rsidRPr="00295B3B">
        <w:rPr>
          <w:rFonts w:asciiTheme="majorBidi" w:hAnsiTheme="majorBidi" w:cstheme="majorBidi"/>
          <w:sz w:val="24"/>
          <w:szCs w:val="24"/>
        </w:rPr>
        <w:t>categorizations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295B3B">
        <w:rPr>
          <w:rFonts w:asciiTheme="majorBidi" w:hAnsiTheme="majorBidi" w:cstheme="majorBidi"/>
          <w:sz w:val="24"/>
          <w:szCs w:val="24"/>
        </w:rPr>
        <w:t xml:space="preserve"> classifications, and silenced voices</w:t>
      </w:r>
      <w:r>
        <w:rPr>
          <w:rFonts w:asciiTheme="majorBidi" w:hAnsiTheme="majorBidi" w:cstheme="majorBidi"/>
          <w:sz w:val="24"/>
          <w:szCs w:val="24"/>
        </w:rPr>
        <w:t>. I</w:t>
      </w:r>
      <w:r w:rsidRPr="00295B3B">
        <w:rPr>
          <w:rFonts w:asciiTheme="majorBidi" w:hAnsiTheme="majorBidi" w:cstheme="majorBidi"/>
          <w:sz w:val="24"/>
          <w:szCs w:val="24"/>
        </w:rPr>
        <w:t xml:space="preserve">n other contexts </w:t>
      </w:r>
      <w:r>
        <w:rPr>
          <w:rFonts w:asciiTheme="majorBidi" w:hAnsiTheme="majorBidi" w:cstheme="majorBidi"/>
          <w:sz w:val="24"/>
          <w:szCs w:val="24"/>
        </w:rPr>
        <w:t xml:space="preserve">art </w:t>
      </w:r>
      <w:r w:rsidRPr="00295B3B">
        <w:rPr>
          <w:rFonts w:asciiTheme="majorBidi" w:hAnsiTheme="majorBidi" w:cstheme="majorBidi"/>
          <w:sz w:val="24"/>
          <w:szCs w:val="24"/>
        </w:rPr>
        <w:t xml:space="preserve">has been defined as a form of encounter, convergence, and debating that functions as a site of mental and practical potential that touches on ideas and conceptions rooted outside distinctly artistic contexts (for example: society, politics, ecology and so on) and conventional “logical”, “objective” and “linear” patterns of inquiry. The course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295B3B">
        <w:rPr>
          <w:rFonts w:asciiTheme="majorBidi" w:hAnsiTheme="majorBidi" w:cstheme="majorBidi"/>
          <w:sz w:val="24"/>
          <w:szCs w:val="24"/>
        </w:rPr>
        <w:t xml:space="preserve">dedicated to these </w:t>
      </w:r>
      <w:r>
        <w:rPr>
          <w:rFonts w:asciiTheme="majorBidi" w:hAnsiTheme="majorBidi" w:cstheme="majorBidi"/>
          <w:sz w:val="24"/>
          <w:szCs w:val="24"/>
        </w:rPr>
        <w:t xml:space="preserve">various perspectives on the </w:t>
      </w:r>
      <w:r w:rsidRPr="00295B3B">
        <w:rPr>
          <w:rFonts w:asciiTheme="majorBidi" w:hAnsiTheme="majorBidi" w:cstheme="majorBidi"/>
          <w:sz w:val="24"/>
          <w:szCs w:val="24"/>
        </w:rPr>
        <w:t>interrelations</w:t>
      </w:r>
      <w:r>
        <w:rPr>
          <w:rFonts w:asciiTheme="majorBidi" w:hAnsiTheme="majorBidi" w:cstheme="majorBidi"/>
          <w:sz w:val="24"/>
          <w:szCs w:val="24"/>
        </w:rPr>
        <w:t xml:space="preserve"> between art and society as well as on</w:t>
      </w:r>
      <w:r w:rsidRPr="00295B3B">
        <w:rPr>
          <w:rFonts w:asciiTheme="majorBidi" w:hAnsiTheme="majorBidi" w:cstheme="majorBidi"/>
          <w:sz w:val="24"/>
          <w:szCs w:val="24"/>
        </w:rPr>
        <w:t xml:space="preserve"> the socio-historical conditions that structured the</w:t>
      </w:r>
      <w:r>
        <w:rPr>
          <w:rFonts w:asciiTheme="majorBidi" w:hAnsiTheme="majorBidi" w:cstheme="majorBidi"/>
          <w:sz w:val="24"/>
          <w:szCs w:val="24"/>
        </w:rPr>
        <w:t xml:space="preserve"> relations between art and society,</w:t>
      </w:r>
      <w:r w:rsidRPr="00295B3B">
        <w:rPr>
          <w:rFonts w:asciiTheme="majorBidi" w:hAnsiTheme="majorBidi" w:cstheme="majorBidi"/>
          <w:sz w:val="24"/>
          <w:szCs w:val="24"/>
        </w:rPr>
        <w:t xml:space="preserve"> and to the </w:t>
      </w:r>
      <w:r>
        <w:rPr>
          <w:rFonts w:asciiTheme="majorBidi" w:hAnsiTheme="majorBidi" w:cstheme="majorBidi"/>
          <w:sz w:val="24"/>
          <w:szCs w:val="24"/>
        </w:rPr>
        <w:t xml:space="preserve">effect of the art-society linkage on </w:t>
      </w:r>
      <w:r w:rsidRPr="00295B3B">
        <w:rPr>
          <w:rFonts w:asciiTheme="majorBidi" w:hAnsiTheme="majorBidi" w:cstheme="majorBidi"/>
          <w:sz w:val="24"/>
          <w:szCs w:val="24"/>
        </w:rPr>
        <w:t>art</w:t>
      </w:r>
      <w:r>
        <w:rPr>
          <w:rFonts w:asciiTheme="majorBidi" w:hAnsiTheme="majorBidi" w:cstheme="majorBidi"/>
          <w:sz w:val="24"/>
          <w:szCs w:val="24"/>
        </w:rPr>
        <w:t xml:space="preserve"> and society</w:t>
      </w:r>
      <w:r w:rsidRPr="00295B3B">
        <w:rPr>
          <w:rFonts w:asciiTheme="majorBidi" w:hAnsiTheme="majorBidi" w:cstheme="majorBidi"/>
          <w:sz w:val="24"/>
          <w:szCs w:val="24"/>
        </w:rPr>
        <w:t>.</w:t>
      </w:r>
    </w:p>
    <w:p w:rsidR="00F74CCA" w:rsidRPr="0045545D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A376FC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תוצרי למידה</w:t>
      </w:r>
      <w:r w:rsidRPr="0045545D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: </w:t>
      </w:r>
    </w:p>
    <w:p w:rsidR="00800AAC" w:rsidRPr="00800AAC" w:rsidRDefault="00800AAC" w:rsidP="00800AAC">
      <w:pPr>
        <w:pStyle w:val="a8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800AAC">
        <w:rPr>
          <w:rFonts w:ascii="David" w:hAnsi="David" w:cs="David" w:hint="cs"/>
          <w:color w:val="000000"/>
          <w:sz w:val="24"/>
          <w:szCs w:val="24"/>
          <w:rtl/>
        </w:rPr>
        <w:lastRenderedPageBreak/>
        <w:t>הכרת הכתיבה המחקרית הנוגעת לקשר אמנות-חברה</w:t>
      </w:r>
    </w:p>
    <w:p w:rsidR="00800AAC" w:rsidRPr="00800AAC" w:rsidRDefault="00800AAC" w:rsidP="00800AAC">
      <w:pPr>
        <w:pStyle w:val="a8"/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800AAC">
        <w:rPr>
          <w:rFonts w:ascii="David" w:hAnsi="David" w:cs="David" w:hint="cs"/>
          <w:color w:val="000000"/>
          <w:sz w:val="24"/>
          <w:szCs w:val="24"/>
          <w:rtl/>
        </w:rPr>
        <w:t xml:space="preserve">הבנת אופני הניתוח של חללי תצוגה לאור הקשר אמנות-חברה </w:t>
      </w:r>
    </w:p>
    <w:p w:rsidR="0045545D" w:rsidRPr="00A376FC" w:rsidRDefault="0045545D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</w:p>
    <w:p w:rsidR="00F74CCA" w:rsidRPr="00A376FC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  <w:r w:rsidRPr="00A376FC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>בסיום מוצלח של הקורס הסטודנט/ית יוכל/תוכל</w:t>
      </w:r>
      <w:r w:rsidRPr="0045545D">
        <w:rPr>
          <w:rFonts w:ascii="David" w:hAnsi="David" w:cs="David"/>
          <w:b/>
          <w:bCs/>
          <w:color w:val="000000"/>
          <w:sz w:val="24"/>
          <w:szCs w:val="24"/>
          <w:rtl/>
        </w:rPr>
        <w:t>:</w:t>
      </w:r>
      <w:r w:rsidRPr="00A376FC"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  <w:t xml:space="preserve"> </w:t>
      </w:r>
    </w:p>
    <w:p w:rsidR="003834A1" w:rsidRPr="00A376FC" w:rsidRDefault="00B46425" w:rsidP="00800AAC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A376FC">
        <w:rPr>
          <w:rFonts w:ascii="David" w:hAnsi="David" w:cs="David"/>
          <w:color w:val="000000"/>
          <w:sz w:val="24"/>
          <w:szCs w:val="24"/>
          <w:rtl/>
        </w:rPr>
        <w:t xml:space="preserve">הסטודנט/ית </w:t>
      </w:r>
      <w:r w:rsidR="00800AAC">
        <w:rPr>
          <w:rFonts w:ascii="David" w:hAnsi="David" w:cs="David" w:hint="cs"/>
          <w:color w:val="000000"/>
          <w:sz w:val="24"/>
          <w:szCs w:val="24"/>
          <w:rtl/>
        </w:rPr>
        <w:t xml:space="preserve">יתוודעו לקשר המורכב בין אמנות לחברה </w:t>
      </w:r>
    </w:p>
    <w:p w:rsidR="00B46425" w:rsidRPr="00A376FC" w:rsidRDefault="000310CE" w:rsidP="00800AAC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A376FC">
        <w:rPr>
          <w:rFonts w:ascii="David" w:hAnsi="David" w:cs="David"/>
          <w:color w:val="000000"/>
          <w:sz w:val="24"/>
          <w:szCs w:val="24"/>
          <w:rtl/>
        </w:rPr>
        <w:t xml:space="preserve">הסטודנט/ית </w:t>
      </w:r>
      <w:r w:rsidR="00800AAC">
        <w:rPr>
          <w:rFonts w:ascii="David" w:hAnsi="David" w:cs="David" w:hint="cs"/>
          <w:color w:val="000000"/>
          <w:sz w:val="24"/>
          <w:szCs w:val="24"/>
          <w:rtl/>
        </w:rPr>
        <w:t xml:space="preserve">יעמדו על המשמעויות החברתיות, הכלכליות והפוליטיות המעצבות את הקשר בין אמנות וחברה </w:t>
      </w:r>
    </w:p>
    <w:p w:rsidR="000310CE" w:rsidRPr="00A376FC" w:rsidRDefault="000310CE" w:rsidP="00800AAC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A376FC">
        <w:rPr>
          <w:rFonts w:ascii="David" w:hAnsi="David" w:cs="David"/>
          <w:color w:val="000000"/>
          <w:sz w:val="24"/>
          <w:szCs w:val="24"/>
          <w:rtl/>
        </w:rPr>
        <w:t xml:space="preserve">הסטודנט/ית </w:t>
      </w:r>
      <w:r w:rsidR="00800AAC">
        <w:rPr>
          <w:rFonts w:ascii="David" w:hAnsi="David" w:cs="David" w:hint="cs"/>
          <w:color w:val="000000"/>
          <w:sz w:val="24"/>
          <w:szCs w:val="24"/>
          <w:rtl/>
        </w:rPr>
        <w:t xml:space="preserve">יוכלו לנתח חללי תצוגה מבעד לפרספקטיבה אמנות-חברה </w:t>
      </w:r>
    </w:p>
    <w:p w:rsidR="00B46425" w:rsidRPr="00A376FC" w:rsidRDefault="00B46425" w:rsidP="00B46425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u w:val="single"/>
          <w:rtl/>
        </w:rPr>
      </w:pPr>
    </w:p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מהלך הקורס על פי מפגשים:</w:t>
      </w:r>
      <w:r w:rsidR="00564489" w:rsidRPr="00A376FC">
        <w:rPr>
          <w:rFonts w:ascii="David" w:hAnsi="David" w:cs="David"/>
          <w:sz w:val="24"/>
          <w:szCs w:val="24"/>
          <w:rtl/>
        </w:rPr>
        <w:t xml:space="preserve"> </w:t>
      </w:r>
    </w:p>
    <w:p w:rsidR="00564489" w:rsidRPr="00A376FC" w:rsidRDefault="00564489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color w:val="000000"/>
          <w:sz w:val="24"/>
          <w:szCs w:val="24"/>
          <w:rtl/>
        </w:rPr>
        <w:t>יש לפרט את הכותרת והתכנים המרכזיים של כל מפגש כולל היוצרים</w:t>
      </w:r>
      <w:r w:rsidR="003834A1" w:rsidRPr="00A376FC">
        <w:rPr>
          <w:rFonts w:ascii="David" w:hAnsi="David" w:cs="David"/>
          <w:color w:val="000000"/>
          <w:sz w:val="24"/>
          <w:szCs w:val="24"/>
          <w:rtl/>
        </w:rPr>
        <w:t>/</w:t>
      </w:r>
      <w:r w:rsidRPr="00A376FC">
        <w:rPr>
          <w:rFonts w:ascii="David" w:hAnsi="David" w:cs="David"/>
          <w:color w:val="000000"/>
          <w:sz w:val="24"/>
          <w:szCs w:val="24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471"/>
      </w:tblGrid>
      <w:tr w:rsidR="00963431" w:rsidRPr="00A376FC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A376FC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A376FC" w:rsidRDefault="00963431" w:rsidP="00564489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u w:val="single"/>
                <w:rtl/>
              </w:rPr>
              <w:t>נושא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B67896" w:rsidRDefault="00B67896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B67896">
              <w:rPr>
                <w:rFonts w:cs="David"/>
                <w:sz w:val="24"/>
                <w:szCs w:val="24"/>
                <w:rtl/>
              </w:rPr>
              <w:t>אמנות כ"עניין" חברתי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 w:rsidRPr="00B67896">
              <w:rPr>
                <w:rFonts w:asciiTheme="majorBidi" w:hAnsiTheme="majorBidi" w:cstheme="majorBidi"/>
                <w:sz w:val="24"/>
                <w:szCs w:val="24"/>
              </w:rPr>
              <w:t>Danto, (1964)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Pr="00B67896" w:rsidRDefault="00B67896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B67896">
              <w:rPr>
                <w:rFonts w:cs="David"/>
                <w:sz w:val="24"/>
                <w:szCs w:val="24"/>
                <w:rtl/>
              </w:rPr>
              <w:t>אמנות כ"עניין" חברתי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 w:rsidRPr="00B67896">
              <w:rPr>
                <w:rFonts w:asciiTheme="majorBidi" w:hAnsiTheme="majorBidi" w:cstheme="majorBidi"/>
                <w:sz w:val="24"/>
                <w:szCs w:val="24"/>
              </w:rPr>
              <w:t>Dickie, (1974)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B67896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B67896">
              <w:rPr>
                <w:rFonts w:cs="David"/>
                <w:sz w:val="24"/>
                <w:szCs w:val="24"/>
                <w:rtl/>
              </w:rPr>
              <w:t>אמנות כ"עניין" חברתי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t>בורדייה</w:t>
            </w:r>
            <w:r w:rsidR="003F439C">
              <w:rPr>
                <w:rFonts w:cs="David"/>
                <w:sz w:val="24"/>
                <w:szCs w:val="24"/>
                <w:rtl/>
              </w:rPr>
              <w:t>, (2005)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C048FC" w:rsidP="00C048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B67896">
              <w:rPr>
                <w:rFonts w:cs="David"/>
                <w:sz w:val="24"/>
                <w:szCs w:val="24"/>
                <w:rtl/>
              </w:rPr>
              <w:t>אמנות כ"עניין" חברתי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t>אזולאי, (תשנ"ז)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Pr="007F0F6C" w:rsidRDefault="007F0F6C" w:rsidP="003D6534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 xml:space="preserve">אמנות כמהלך חברתי-ביקורתי 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Holmes, (2007)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7F0F6C" w:rsidP="003D65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>אמנות כמהלך חברתי-ביקורתי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 xml:space="preserve"> 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3D6534">
              <w:rPr>
                <w:rFonts w:asciiTheme="majorBidi" w:hAnsiTheme="majorBidi" w:cstheme="majorBidi"/>
                <w:sz w:val="24"/>
              </w:rPr>
              <w:t>Kester, (2011)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7F0F6C" w:rsidP="003D65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>אמנות כמהלך חברתי-ביקורתי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 xml:space="preserve"> 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Bourriaud, (1998)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;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Bishop, (2004)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7F0F6C" w:rsidP="003D65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>אמנות כמהלך חברתי-ביקורתי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 xml:space="preserve"> 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Helguera, (2011)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Pr="007F0F6C" w:rsidRDefault="007F0F6C" w:rsidP="003D6534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 xml:space="preserve">אמנות כמהלך אקטיביסטי וקהילתי 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Jacob, (1998)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Pr="003D6534" w:rsidRDefault="007F0F6C" w:rsidP="003D65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>אמנות כמהלך אקטיביסטי וקהילתי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 xml:space="preserve"> 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Matarasso, (1997)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7F0F6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>אמנות כמהלך אקטיביסטי וקהילתי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 xml:space="preserve"> -</w:t>
            </w:r>
            <w:r w:rsidR="003D6534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D6534" w:rsidRPr="00800AAC">
              <w:rPr>
                <w:rFonts w:asciiTheme="majorBidi" w:hAnsiTheme="majorBidi" w:cstheme="majorBidi"/>
                <w:sz w:val="24"/>
                <w:szCs w:val="24"/>
              </w:rPr>
              <w:t>Merli, (2002)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7F0F6C" w:rsidP="003D65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7F0F6C">
              <w:rPr>
                <w:rFonts w:cs="David"/>
                <w:sz w:val="24"/>
                <w:szCs w:val="24"/>
                <w:rtl/>
              </w:rPr>
              <w:t>אמנות כמהלך אקטיביסטי וקהילתי</w:t>
            </w:r>
            <w:r w:rsidR="008D37CF">
              <w:rPr>
                <w:rFonts w:ascii="David" w:hAnsi="David" w:cs="David" w:hint="cs"/>
                <w:sz w:val="24"/>
                <w:szCs w:val="24"/>
                <w:rtl/>
              </w:rPr>
              <w:t xml:space="preserve"> - </w:t>
            </w:r>
            <w:r w:rsidR="003D6534">
              <w:rPr>
                <w:rFonts w:cs="David"/>
                <w:kern w:val="36"/>
                <w:sz w:val="24"/>
                <w:szCs w:val="24"/>
                <w:rtl/>
              </w:rPr>
              <w:t>פינקפרל, (2014)</w:t>
            </w:r>
          </w:p>
        </w:tc>
      </w:tr>
      <w:tr w:rsidR="00963431" w:rsidRPr="00A376FC" w:rsidTr="005B50E4">
        <w:tc>
          <w:tcPr>
            <w:tcW w:w="709" w:type="dxa"/>
            <w:shd w:val="clear" w:color="auto" w:fill="auto"/>
          </w:tcPr>
          <w:p w:rsidR="00963431" w:rsidRPr="00A376FC" w:rsidRDefault="00963431" w:rsidP="00564489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376FC">
              <w:rPr>
                <w:rFonts w:ascii="David" w:hAnsi="David" w:cs="David"/>
                <w:sz w:val="24"/>
                <w:szCs w:val="24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A376FC" w:rsidRDefault="007F0F6C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סיכום והצגת עבודת הסיום </w:t>
            </w:r>
          </w:p>
        </w:tc>
      </w:tr>
    </w:tbl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3834A1" w:rsidRPr="00800AAC" w:rsidRDefault="003834A1" w:rsidP="00E543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נהלי נוכחות</w:t>
      </w:r>
      <w:r w:rsidRPr="00E543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</w:p>
    <w:p w:rsidR="00E543AC" w:rsidRPr="00800AAC" w:rsidRDefault="00E543AC" w:rsidP="00800AAC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00AAC">
        <w:rPr>
          <w:rFonts w:cs="David"/>
          <w:sz w:val="24"/>
          <w:szCs w:val="24"/>
          <w:rtl/>
        </w:rPr>
        <w:t xml:space="preserve">נוכחות בשיעורים </w:t>
      </w:r>
      <w:r w:rsidRPr="00800AAC">
        <w:rPr>
          <w:rFonts w:ascii="David" w:hAnsi="David" w:cs="David"/>
          <w:sz w:val="24"/>
          <w:szCs w:val="24"/>
          <w:rtl/>
        </w:rPr>
        <w:t>ב-80% לפחות ממפגשי הקורס</w:t>
      </w:r>
    </w:p>
    <w:p w:rsidR="003834A1" w:rsidRPr="00A376FC" w:rsidRDefault="003834A1" w:rsidP="0056448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3834A1" w:rsidRPr="00A376FC" w:rsidRDefault="003834A1" w:rsidP="00E543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שיטת ההוראה</w:t>
      </w:r>
      <w:r w:rsidRPr="00E543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</w:p>
    <w:p w:rsidR="003834A1" w:rsidRDefault="00E543AC" w:rsidP="00E543A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E543AC">
        <w:rPr>
          <w:rFonts w:ascii="David" w:hAnsi="David" w:cs="David" w:hint="cs"/>
          <w:sz w:val="24"/>
          <w:szCs w:val="24"/>
          <w:rtl/>
        </w:rPr>
        <w:t xml:space="preserve">שיעורים פרונטליים </w:t>
      </w:r>
      <w:r>
        <w:rPr>
          <w:rFonts w:ascii="David" w:hAnsi="David" w:cs="David" w:hint="cs"/>
          <w:sz w:val="24"/>
          <w:szCs w:val="24"/>
          <w:rtl/>
        </w:rPr>
        <w:t xml:space="preserve">מלווים במצגות </w:t>
      </w:r>
    </w:p>
    <w:p w:rsidR="00E543AC" w:rsidRPr="00E543AC" w:rsidRDefault="00E543AC" w:rsidP="00800AAC">
      <w:pPr>
        <w:pStyle w:val="a8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3834A1" w:rsidRPr="00A376FC" w:rsidRDefault="00963431" w:rsidP="00E543AC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מטלות הסטודנטים</w:t>
      </w:r>
      <w:r w:rsidR="000926E4"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/יות</w:t>
      </w: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במהלך הקורס</w:t>
      </w:r>
      <w:r w:rsidR="003834A1" w:rsidRPr="00E543AC">
        <w:rPr>
          <w:rFonts w:ascii="David" w:hAnsi="David" w:cs="David"/>
          <w:b/>
          <w:bCs/>
          <w:sz w:val="24"/>
          <w:szCs w:val="24"/>
          <w:rtl/>
        </w:rPr>
        <w:t>:</w:t>
      </w:r>
      <w:r w:rsidR="003834A1" w:rsidRPr="00E543AC">
        <w:rPr>
          <w:rFonts w:ascii="David" w:hAnsi="David" w:cs="David"/>
          <w:b/>
          <w:bCs/>
          <w:i/>
          <w:iCs/>
          <w:sz w:val="24"/>
          <w:szCs w:val="24"/>
          <w:u w:val="single"/>
          <w:rtl/>
        </w:rPr>
        <w:t xml:space="preserve"> </w:t>
      </w:r>
    </w:p>
    <w:p w:rsidR="00E543AC" w:rsidRDefault="00800AAC" w:rsidP="00800AA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-    </w:t>
      </w:r>
      <w:r w:rsidR="00E543AC">
        <w:rPr>
          <w:rFonts w:cs="David"/>
          <w:sz w:val="24"/>
          <w:szCs w:val="24"/>
          <w:rtl/>
        </w:rPr>
        <w:t>קריאה שוטפת של החומר הנלמד</w:t>
      </w:r>
    </w:p>
    <w:p w:rsidR="00E543AC" w:rsidRDefault="00800AAC" w:rsidP="00800AA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E543AC">
        <w:rPr>
          <w:rFonts w:cs="David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 xml:space="preserve">   עבודת סיום</w:t>
      </w:r>
    </w:p>
    <w:p w:rsidR="00E543AC" w:rsidRDefault="00963431" w:rsidP="00E543AC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אופן חישוב הציון</w:t>
      </w:r>
      <w:r w:rsidR="003834A1"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לסטודנט/ית</w:t>
      </w:r>
      <w:r w:rsidRPr="00E543AC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963431" w:rsidRPr="00800AAC" w:rsidRDefault="00E543AC" w:rsidP="00800AA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00AAC">
        <w:rPr>
          <w:rFonts w:ascii="David" w:hAnsi="David" w:cs="David" w:hint="cs"/>
          <w:sz w:val="24"/>
          <w:szCs w:val="24"/>
          <w:rtl/>
        </w:rPr>
        <w:t>10</w:t>
      </w:r>
      <w:r w:rsidR="003834A1" w:rsidRPr="00800AAC">
        <w:rPr>
          <w:rFonts w:ascii="David" w:hAnsi="David" w:cs="David"/>
          <w:sz w:val="24"/>
          <w:szCs w:val="24"/>
          <w:rtl/>
        </w:rPr>
        <w:t>0%</w:t>
      </w:r>
      <w:r w:rsidR="00800AAC" w:rsidRPr="00800AAC">
        <w:rPr>
          <w:rFonts w:ascii="David" w:hAnsi="David" w:cs="David" w:hint="cs"/>
          <w:sz w:val="24"/>
          <w:szCs w:val="24"/>
          <w:rtl/>
        </w:rPr>
        <w:t xml:space="preserve"> </w:t>
      </w:r>
      <w:r w:rsidR="00800AAC">
        <w:rPr>
          <w:rFonts w:ascii="David" w:hAnsi="David" w:cs="David"/>
          <w:sz w:val="24"/>
          <w:szCs w:val="24"/>
          <w:rtl/>
        </w:rPr>
        <w:t xml:space="preserve"> מטלה סופית</w:t>
      </w:r>
    </w:p>
    <w:p w:rsidR="00564489" w:rsidRPr="00A376FC" w:rsidRDefault="00564489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>רשימת קריאה</w:t>
      </w:r>
      <w:r w:rsidR="00253B71" w:rsidRPr="00A376F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(ביבליוגרפיה)</w:t>
      </w:r>
      <w:r w:rsidRPr="00800AAC">
        <w:rPr>
          <w:rFonts w:ascii="David" w:hAnsi="David" w:cs="David"/>
          <w:b/>
          <w:bCs/>
          <w:sz w:val="24"/>
          <w:szCs w:val="24"/>
          <w:rtl/>
        </w:rPr>
        <w:t xml:space="preserve">: </w:t>
      </w:r>
    </w:p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A376FC">
        <w:rPr>
          <w:rFonts w:ascii="David" w:hAnsi="David" w:cs="David"/>
          <w:sz w:val="24"/>
          <w:szCs w:val="24"/>
          <w:u w:val="single"/>
          <w:rtl/>
        </w:rPr>
        <w:t>קריאת חובה</w:t>
      </w:r>
      <w:r w:rsidRPr="00800AAC">
        <w:rPr>
          <w:rFonts w:ascii="David" w:hAnsi="David" w:cs="David"/>
          <w:sz w:val="24"/>
          <w:szCs w:val="24"/>
          <w:rtl/>
        </w:rPr>
        <w:t>:</w:t>
      </w:r>
    </w:p>
    <w:p w:rsidR="00800AAC" w:rsidRDefault="00800AAC" w:rsidP="00611AB6">
      <w:pPr>
        <w:pStyle w:val="a5"/>
        <w:bidi w:val="0"/>
        <w:rPr>
          <w:sz w:val="24"/>
          <w:szCs w:val="24"/>
          <w:rtl/>
        </w:rPr>
      </w:pPr>
      <w:r w:rsidRPr="001231DF">
        <w:rPr>
          <w:sz w:val="24"/>
          <w:szCs w:val="24"/>
        </w:rPr>
        <w:t>Danto</w:t>
      </w:r>
      <w:r w:rsidR="007B59B2" w:rsidRPr="001231DF">
        <w:rPr>
          <w:sz w:val="24"/>
          <w:szCs w:val="24"/>
        </w:rPr>
        <w:t>,</w:t>
      </w:r>
      <w:r w:rsidR="00B67896" w:rsidRPr="001231DF">
        <w:rPr>
          <w:sz w:val="24"/>
          <w:szCs w:val="24"/>
        </w:rPr>
        <w:t xml:space="preserve"> Arthur</w:t>
      </w:r>
      <w:r w:rsidRPr="001231DF">
        <w:rPr>
          <w:sz w:val="24"/>
          <w:szCs w:val="24"/>
        </w:rPr>
        <w:t xml:space="preserve">, </w:t>
      </w:r>
      <w:r w:rsidR="00611AB6" w:rsidRPr="001231DF">
        <w:rPr>
          <w:sz w:val="24"/>
          <w:szCs w:val="24"/>
        </w:rPr>
        <w:t>"</w:t>
      </w:r>
      <w:r w:rsidRPr="001231DF">
        <w:rPr>
          <w:sz w:val="24"/>
          <w:szCs w:val="24"/>
        </w:rPr>
        <w:t>The Artworld</w:t>
      </w:r>
      <w:r w:rsidR="00611AB6" w:rsidRPr="001231DF">
        <w:rPr>
          <w:sz w:val="24"/>
          <w:szCs w:val="24"/>
        </w:rPr>
        <w:t>"</w:t>
      </w:r>
      <w:r w:rsidRPr="001231DF">
        <w:rPr>
          <w:sz w:val="24"/>
          <w:szCs w:val="24"/>
        </w:rPr>
        <w:t xml:space="preserve">, </w:t>
      </w:r>
      <w:r w:rsidRPr="001231DF">
        <w:rPr>
          <w:i/>
          <w:iCs/>
          <w:sz w:val="24"/>
          <w:szCs w:val="24"/>
        </w:rPr>
        <w:t>The Journal of Philosophy</w:t>
      </w:r>
      <w:r w:rsidRPr="001231DF">
        <w:rPr>
          <w:sz w:val="24"/>
          <w:szCs w:val="24"/>
        </w:rPr>
        <w:t>, 61</w:t>
      </w:r>
      <w:r w:rsidR="00611AB6" w:rsidRPr="001231DF">
        <w:rPr>
          <w:sz w:val="24"/>
          <w:szCs w:val="24"/>
        </w:rPr>
        <w:t>:19 (1964). pp.</w:t>
      </w:r>
      <w:r w:rsidRPr="001231DF">
        <w:rPr>
          <w:sz w:val="24"/>
          <w:szCs w:val="24"/>
        </w:rPr>
        <w:t xml:space="preserve"> 571-584.</w:t>
      </w:r>
      <w:r>
        <w:rPr>
          <w:sz w:val="24"/>
          <w:szCs w:val="24"/>
        </w:rPr>
        <w:t xml:space="preserve"> </w:t>
      </w:r>
    </w:p>
    <w:p w:rsidR="00800AAC" w:rsidRDefault="00800AAC" w:rsidP="00800AAC">
      <w:pPr>
        <w:pStyle w:val="a5"/>
        <w:bidi w:val="0"/>
        <w:jc w:val="both"/>
        <w:rPr>
          <w:sz w:val="24"/>
          <w:szCs w:val="24"/>
        </w:rPr>
      </w:pPr>
    </w:p>
    <w:p w:rsidR="00800AAC" w:rsidRDefault="00800AAC" w:rsidP="007B59B2">
      <w:pPr>
        <w:pStyle w:val="a5"/>
        <w:bidi w:val="0"/>
        <w:jc w:val="both"/>
        <w:rPr>
          <w:sz w:val="24"/>
          <w:szCs w:val="24"/>
          <w:rtl/>
        </w:rPr>
      </w:pPr>
      <w:r w:rsidRPr="001231DF">
        <w:rPr>
          <w:sz w:val="24"/>
          <w:szCs w:val="24"/>
        </w:rPr>
        <w:t>Dickie</w:t>
      </w:r>
      <w:r w:rsidR="007B59B2" w:rsidRPr="001231DF">
        <w:rPr>
          <w:sz w:val="24"/>
          <w:szCs w:val="24"/>
        </w:rPr>
        <w:t>,</w:t>
      </w:r>
      <w:r w:rsidR="00B67896" w:rsidRPr="001231DF">
        <w:rPr>
          <w:sz w:val="24"/>
          <w:szCs w:val="24"/>
        </w:rPr>
        <w:t xml:space="preserve"> George</w:t>
      </w:r>
      <w:r w:rsidR="007B59B2" w:rsidRPr="001231DF">
        <w:rPr>
          <w:sz w:val="24"/>
          <w:szCs w:val="24"/>
        </w:rPr>
        <w:t>,</w:t>
      </w:r>
      <w:r w:rsidRPr="001231DF">
        <w:rPr>
          <w:sz w:val="24"/>
          <w:szCs w:val="24"/>
        </w:rPr>
        <w:t xml:space="preserve"> </w:t>
      </w:r>
      <w:r w:rsidR="007B59B2" w:rsidRPr="001231DF">
        <w:rPr>
          <w:sz w:val="24"/>
          <w:szCs w:val="24"/>
        </w:rPr>
        <w:t>"</w:t>
      </w:r>
      <w:r w:rsidRPr="001231DF">
        <w:rPr>
          <w:sz w:val="24"/>
          <w:szCs w:val="24"/>
        </w:rPr>
        <w:t>What is art?</w:t>
      </w:r>
      <w:r w:rsidR="007B59B2" w:rsidRPr="001231DF">
        <w:rPr>
          <w:sz w:val="24"/>
          <w:szCs w:val="24"/>
        </w:rPr>
        <w:t>",</w:t>
      </w:r>
      <w:r w:rsidRPr="001231DF">
        <w:rPr>
          <w:sz w:val="24"/>
          <w:szCs w:val="24"/>
        </w:rPr>
        <w:t xml:space="preserve"> </w:t>
      </w:r>
      <w:r w:rsidR="0078719E" w:rsidRPr="001231DF">
        <w:rPr>
          <w:sz w:val="24"/>
          <w:szCs w:val="24"/>
        </w:rPr>
        <w:t xml:space="preserve">In </w:t>
      </w:r>
      <w:r w:rsidRPr="001231DF">
        <w:rPr>
          <w:i/>
          <w:iCs/>
          <w:sz w:val="24"/>
          <w:szCs w:val="24"/>
        </w:rPr>
        <w:t>An institutional analysis,</w:t>
      </w:r>
      <w:r w:rsidRPr="001231DF">
        <w:rPr>
          <w:sz w:val="24"/>
          <w:szCs w:val="24"/>
        </w:rPr>
        <w:t xml:space="preserve"> </w:t>
      </w:r>
      <w:r w:rsidRPr="001231DF">
        <w:rPr>
          <w:i/>
          <w:iCs/>
          <w:sz w:val="24"/>
          <w:szCs w:val="24"/>
        </w:rPr>
        <w:t>Art and the Aesth</w:t>
      </w:r>
      <w:r w:rsidR="007B59B2" w:rsidRPr="001231DF">
        <w:rPr>
          <w:i/>
          <w:iCs/>
          <w:sz w:val="24"/>
          <w:szCs w:val="24"/>
        </w:rPr>
        <w:t>etic: An Institutional Analysis,</w:t>
      </w:r>
      <w:r w:rsidRPr="001231DF">
        <w:rPr>
          <w:sz w:val="24"/>
          <w:szCs w:val="24"/>
        </w:rPr>
        <w:t xml:space="preserve"> Ithaca</w:t>
      </w:r>
      <w:r w:rsidR="007B59B2" w:rsidRPr="001231DF">
        <w:rPr>
          <w:sz w:val="24"/>
          <w:szCs w:val="24"/>
        </w:rPr>
        <w:t xml:space="preserve"> NY: Cornell UP, 1974. pp. 426-437.</w:t>
      </w:r>
      <w:r w:rsidR="007B59B2">
        <w:rPr>
          <w:sz w:val="24"/>
          <w:szCs w:val="24"/>
        </w:rPr>
        <w:t xml:space="preserve"> </w:t>
      </w:r>
    </w:p>
    <w:p w:rsidR="00800AAC" w:rsidRDefault="00800AAC" w:rsidP="00800AAC">
      <w:pPr>
        <w:bidi w:val="0"/>
        <w:jc w:val="both"/>
        <w:rPr>
          <w:rFonts w:cs="David"/>
          <w:sz w:val="24"/>
          <w:szCs w:val="24"/>
        </w:rPr>
      </w:pPr>
    </w:p>
    <w:p w:rsidR="00800AAC" w:rsidRPr="00282221" w:rsidRDefault="00800AAC" w:rsidP="00800AAC">
      <w:pPr>
        <w:jc w:val="both"/>
        <w:rPr>
          <w:rFonts w:cs="David"/>
          <w:sz w:val="24"/>
          <w:szCs w:val="24"/>
          <w:rtl/>
        </w:rPr>
      </w:pPr>
      <w:r w:rsidRPr="001231DF">
        <w:rPr>
          <w:rFonts w:cs="David"/>
          <w:sz w:val="24"/>
          <w:szCs w:val="24"/>
          <w:rtl/>
        </w:rPr>
        <w:t>בורדייה</w:t>
      </w:r>
      <w:r w:rsidR="007B59B2" w:rsidRPr="001231DF">
        <w:rPr>
          <w:rFonts w:cs="David" w:hint="cs"/>
          <w:sz w:val="24"/>
          <w:szCs w:val="24"/>
          <w:rtl/>
        </w:rPr>
        <w:t>,</w:t>
      </w:r>
      <w:r w:rsidR="007B59B2" w:rsidRPr="001231DF">
        <w:rPr>
          <w:rFonts w:cs="David"/>
          <w:sz w:val="24"/>
          <w:szCs w:val="24"/>
          <w:rtl/>
        </w:rPr>
        <w:t xml:space="preserve"> פייר,</w:t>
      </w:r>
      <w:r w:rsidRPr="001231DF">
        <w:rPr>
          <w:rFonts w:cs="David"/>
          <w:sz w:val="24"/>
          <w:szCs w:val="24"/>
          <w:rtl/>
        </w:rPr>
        <w:t xml:space="preserve"> </w:t>
      </w:r>
      <w:r w:rsidR="007B59B2" w:rsidRPr="001231DF">
        <w:rPr>
          <w:rFonts w:cs="David" w:hint="cs"/>
          <w:sz w:val="24"/>
          <w:szCs w:val="24"/>
          <w:rtl/>
        </w:rPr>
        <w:t>"</w:t>
      </w:r>
      <w:r w:rsidRPr="001231DF">
        <w:rPr>
          <w:rFonts w:cs="David"/>
          <w:sz w:val="24"/>
          <w:szCs w:val="24"/>
          <w:rtl/>
        </w:rPr>
        <w:t>אבל מי יצר את היוצרים</w:t>
      </w:r>
      <w:r w:rsidR="007B59B2" w:rsidRPr="001231DF">
        <w:rPr>
          <w:rFonts w:cs="David" w:hint="cs"/>
          <w:sz w:val="24"/>
          <w:szCs w:val="24"/>
          <w:rtl/>
        </w:rPr>
        <w:t>"</w:t>
      </w:r>
      <w:r w:rsidRPr="001231DF">
        <w:rPr>
          <w:rFonts w:cs="David"/>
          <w:sz w:val="24"/>
          <w:szCs w:val="24"/>
          <w:rtl/>
        </w:rPr>
        <w:t>,</w:t>
      </w:r>
      <w:r w:rsidR="0078719E" w:rsidRPr="001231DF">
        <w:rPr>
          <w:rFonts w:cs="David" w:hint="cs"/>
          <w:sz w:val="24"/>
          <w:szCs w:val="24"/>
          <w:rtl/>
        </w:rPr>
        <w:t xml:space="preserve"> בתוך</w:t>
      </w:r>
      <w:r w:rsidRPr="001231DF">
        <w:rPr>
          <w:rFonts w:cs="David"/>
          <w:sz w:val="24"/>
          <w:szCs w:val="24"/>
          <w:rtl/>
        </w:rPr>
        <w:t xml:space="preserve"> </w:t>
      </w:r>
      <w:r w:rsidRPr="001231DF">
        <w:rPr>
          <w:rFonts w:cs="David"/>
          <w:i/>
          <w:iCs/>
          <w:sz w:val="24"/>
          <w:szCs w:val="24"/>
          <w:rtl/>
        </w:rPr>
        <w:t>שאלות בסוציולוגיה</w:t>
      </w:r>
      <w:r w:rsidRPr="001231DF">
        <w:rPr>
          <w:rFonts w:cs="David"/>
          <w:sz w:val="24"/>
          <w:szCs w:val="24"/>
          <w:rtl/>
        </w:rPr>
        <w:t xml:space="preserve">, </w:t>
      </w:r>
      <w:r w:rsidR="007B59B2" w:rsidRPr="001231DF">
        <w:rPr>
          <w:rFonts w:cs="David" w:hint="cs"/>
          <w:sz w:val="24"/>
          <w:szCs w:val="24"/>
          <w:rtl/>
        </w:rPr>
        <w:t xml:space="preserve">(תרגום: </w:t>
      </w:r>
      <w:r w:rsidR="001231DF" w:rsidRPr="001231DF">
        <w:rPr>
          <w:rFonts w:cs="David" w:hint="cs"/>
          <w:sz w:val="24"/>
          <w:szCs w:val="24"/>
          <w:rtl/>
        </w:rPr>
        <w:t>אבנר להב</w:t>
      </w:r>
      <w:r w:rsidR="007B59B2" w:rsidRPr="001231DF">
        <w:rPr>
          <w:rFonts w:cs="David" w:hint="cs"/>
          <w:sz w:val="24"/>
          <w:szCs w:val="24"/>
          <w:rtl/>
        </w:rPr>
        <w:t xml:space="preserve">), תל אביב: </w:t>
      </w:r>
      <w:r w:rsidR="007B59B2" w:rsidRPr="001231DF">
        <w:rPr>
          <w:rFonts w:cs="David"/>
          <w:sz w:val="24"/>
          <w:szCs w:val="24"/>
          <w:rtl/>
        </w:rPr>
        <w:t>רסלינג</w:t>
      </w:r>
      <w:r w:rsidRPr="001231DF">
        <w:rPr>
          <w:rFonts w:cs="David"/>
          <w:sz w:val="24"/>
          <w:szCs w:val="24"/>
          <w:rtl/>
        </w:rPr>
        <w:t>,</w:t>
      </w:r>
      <w:r w:rsidR="007B59B2" w:rsidRPr="001231DF">
        <w:rPr>
          <w:rFonts w:cs="David" w:hint="cs"/>
          <w:sz w:val="24"/>
          <w:szCs w:val="24"/>
          <w:rtl/>
        </w:rPr>
        <w:t xml:space="preserve"> 2005. עמ'</w:t>
      </w:r>
      <w:r w:rsidRPr="001231DF">
        <w:rPr>
          <w:rFonts w:cs="David"/>
          <w:sz w:val="24"/>
          <w:szCs w:val="24"/>
          <w:rtl/>
        </w:rPr>
        <w:t xml:space="preserve"> 205-193.</w:t>
      </w:r>
    </w:p>
    <w:p w:rsidR="00800AAC" w:rsidRDefault="00800AAC" w:rsidP="00D059A1">
      <w:pPr>
        <w:jc w:val="both"/>
        <w:rPr>
          <w:rFonts w:cs="David"/>
          <w:sz w:val="24"/>
          <w:szCs w:val="24"/>
          <w:rtl/>
        </w:rPr>
      </w:pPr>
      <w:r w:rsidRPr="001231DF">
        <w:rPr>
          <w:rFonts w:cs="David"/>
          <w:sz w:val="24"/>
          <w:szCs w:val="24"/>
          <w:rtl/>
        </w:rPr>
        <w:t>אזולאי</w:t>
      </w:r>
      <w:r w:rsidR="00D059A1" w:rsidRPr="001231DF">
        <w:rPr>
          <w:rFonts w:cs="David" w:hint="cs"/>
          <w:sz w:val="24"/>
          <w:szCs w:val="24"/>
          <w:rtl/>
        </w:rPr>
        <w:t>,</w:t>
      </w:r>
      <w:r w:rsidRPr="001231DF">
        <w:rPr>
          <w:rFonts w:cs="David"/>
          <w:sz w:val="24"/>
          <w:szCs w:val="24"/>
          <w:rtl/>
        </w:rPr>
        <w:t xml:space="preserve"> אריאלה, </w:t>
      </w:r>
      <w:r w:rsidR="00D059A1" w:rsidRPr="001231DF">
        <w:rPr>
          <w:rFonts w:cs="David" w:hint="cs"/>
          <w:sz w:val="24"/>
          <w:szCs w:val="24"/>
          <w:rtl/>
        </w:rPr>
        <w:t>"</w:t>
      </w:r>
      <w:r w:rsidRPr="001231DF">
        <w:rPr>
          <w:rFonts w:cs="David"/>
          <w:sz w:val="24"/>
          <w:szCs w:val="24"/>
          <w:rtl/>
        </w:rPr>
        <w:t>ללמוד לראות (אמנות)</w:t>
      </w:r>
      <w:r w:rsidR="00D059A1" w:rsidRPr="001231DF">
        <w:rPr>
          <w:rFonts w:cs="David" w:hint="cs"/>
          <w:sz w:val="24"/>
          <w:szCs w:val="24"/>
          <w:rtl/>
        </w:rPr>
        <w:t>"</w:t>
      </w:r>
      <w:r w:rsidRPr="001231DF">
        <w:rPr>
          <w:rFonts w:cs="David"/>
          <w:sz w:val="24"/>
          <w:szCs w:val="24"/>
          <w:rtl/>
        </w:rPr>
        <w:t xml:space="preserve">, </w:t>
      </w:r>
      <w:r w:rsidR="00D059A1" w:rsidRPr="001231DF">
        <w:rPr>
          <w:rFonts w:cs="David"/>
          <w:i/>
          <w:iCs/>
          <w:sz w:val="24"/>
          <w:szCs w:val="24"/>
          <w:rtl/>
        </w:rPr>
        <w:t>עיונים בחינו</w:t>
      </w:r>
      <w:r w:rsidR="00D059A1" w:rsidRPr="001231DF">
        <w:rPr>
          <w:rFonts w:cs="David" w:hint="cs"/>
          <w:i/>
          <w:iCs/>
          <w:sz w:val="24"/>
          <w:szCs w:val="24"/>
          <w:rtl/>
        </w:rPr>
        <w:t xml:space="preserve">ך, </w:t>
      </w:r>
      <w:r w:rsidR="00D059A1" w:rsidRPr="001231DF">
        <w:rPr>
          <w:rFonts w:cs="David" w:hint="cs"/>
          <w:sz w:val="24"/>
          <w:szCs w:val="24"/>
          <w:rtl/>
        </w:rPr>
        <w:t>מס'</w:t>
      </w:r>
      <w:r w:rsidRPr="001231DF">
        <w:rPr>
          <w:rFonts w:cs="David"/>
          <w:sz w:val="24"/>
          <w:szCs w:val="24"/>
          <w:rtl/>
        </w:rPr>
        <w:t xml:space="preserve"> </w:t>
      </w:r>
      <w:r w:rsidR="00D059A1" w:rsidRPr="001231DF">
        <w:rPr>
          <w:rFonts w:cs="David" w:hint="cs"/>
          <w:sz w:val="24"/>
          <w:szCs w:val="24"/>
          <w:rtl/>
        </w:rPr>
        <w:t xml:space="preserve">2 (תשע"ז). עמ' </w:t>
      </w:r>
      <w:r w:rsidRPr="001231DF">
        <w:rPr>
          <w:rFonts w:cs="David"/>
          <w:sz w:val="24"/>
          <w:szCs w:val="24"/>
          <w:rtl/>
        </w:rPr>
        <w:t>92-78.</w:t>
      </w:r>
      <w:r>
        <w:rPr>
          <w:rFonts w:cs="David"/>
          <w:sz w:val="24"/>
          <w:szCs w:val="24"/>
          <w:rtl/>
        </w:rPr>
        <w:t xml:space="preserve"> </w:t>
      </w:r>
    </w:p>
    <w:p w:rsidR="00800AAC" w:rsidRDefault="00800AAC" w:rsidP="00D059A1">
      <w:pPr>
        <w:jc w:val="both"/>
        <w:rPr>
          <w:rFonts w:cs="David"/>
          <w:sz w:val="24"/>
          <w:szCs w:val="24"/>
        </w:rPr>
      </w:pPr>
      <w:r w:rsidRPr="001231DF">
        <w:rPr>
          <w:rFonts w:cs="David"/>
          <w:sz w:val="24"/>
          <w:szCs w:val="24"/>
          <w:rtl/>
        </w:rPr>
        <w:t>כתריאל</w:t>
      </w:r>
      <w:r w:rsidR="00D059A1" w:rsidRPr="001231DF">
        <w:rPr>
          <w:rFonts w:cs="David" w:hint="cs"/>
          <w:sz w:val="24"/>
          <w:szCs w:val="24"/>
          <w:rtl/>
        </w:rPr>
        <w:t>,</w:t>
      </w:r>
      <w:r w:rsidRPr="001231DF">
        <w:rPr>
          <w:rFonts w:cs="David"/>
          <w:sz w:val="24"/>
          <w:szCs w:val="24"/>
          <w:rtl/>
        </w:rPr>
        <w:t xml:space="preserve"> תמר, </w:t>
      </w:r>
      <w:r w:rsidR="00D059A1" w:rsidRPr="001231DF">
        <w:rPr>
          <w:rFonts w:cs="David" w:hint="cs"/>
          <w:sz w:val="24"/>
          <w:szCs w:val="24"/>
          <w:rtl/>
        </w:rPr>
        <w:t>"</w:t>
      </w:r>
      <w:r w:rsidRPr="001231DF">
        <w:rPr>
          <w:rFonts w:cs="David"/>
          <w:sz w:val="24"/>
          <w:szCs w:val="24"/>
          <w:rtl/>
        </w:rPr>
        <w:t>'נהיה כולנו חלוצים': כלים וסיפורים במוזיאון לתולדות ההתיישבות</w:t>
      </w:r>
      <w:r w:rsidR="00D059A1" w:rsidRPr="001231DF">
        <w:rPr>
          <w:rFonts w:cs="David" w:hint="cs"/>
          <w:sz w:val="24"/>
          <w:szCs w:val="24"/>
          <w:rtl/>
        </w:rPr>
        <w:t>"</w:t>
      </w:r>
      <w:r w:rsidRPr="001231DF">
        <w:rPr>
          <w:rFonts w:cs="David"/>
          <w:sz w:val="24"/>
          <w:szCs w:val="24"/>
          <w:rtl/>
        </w:rPr>
        <w:t>,</w:t>
      </w:r>
      <w:r w:rsidR="0078719E" w:rsidRPr="001231DF">
        <w:rPr>
          <w:rFonts w:cs="David" w:hint="cs"/>
          <w:sz w:val="24"/>
          <w:szCs w:val="24"/>
          <w:rtl/>
        </w:rPr>
        <w:t xml:space="preserve"> בתוך</w:t>
      </w:r>
      <w:r w:rsidRPr="001231DF">
        <w:rPr>
          <w:rFonts w:cs="David"/>
          <w:sz w:val="24"/>
          <w:szCs w:val="24"/>
          <w:rtl/>
        </w:rPr>
        <w:t xml:space="preserve"> </w:t>
      </w:r>
      <w:r w:rsidRPr="001231DF">
        <w:rPr>
          <w:rFonts w:cs="David"/>
          <w:i/>
          <w:iCs/>
          <w:sz w:val="24"/>
          <w:szCs w:val="24"/>
          <w:rtl/>
        </w:rPr>
        <w:t>מילות מפתח, דפוסי תרבות ותקשורת בישראל</w:t>
      </w:r>
      <w:r w:rsidRPr="001231DF">
        <w:rPr>
          <w:rFonts w:cs="David"/>
          <w:sz w:val="24"/>
          <w:szCs w:val="24"/>
          <w:rtl/>
        </w:rPr>
        <w:t xml:space="preserve">, </w:t>
      </w:r>
      <w:r w:rsidR="0078719E" w:rsidRPr="001231DF">
        <w:rPr>
          <w:rFonts w:cs="David" w:hint="cs"/>
          <w:sz w:val="24"/>
          <w:szCs w:val="24"/>
          <w:rtl/>
        </w:rPr>
        <w:t xml:space="preserve">חיפה: </w:t>
      </w:r>
      <w:r w:rsidR="0078719E" w:rsidRPr="001231DF">
        <w:rPr>
          <w:rFonts w:cs="David"/>
          <w:sz w:val="24"/>
          <w:szCs w:val="24"/>
          <w:rtl/>
        </w:rPr>
        <w:t>אוניברסיטת חיפה</w:t>
      </w:r>
      <w:r w:rsidR="00D059A1" w:rsidRPr="001231DF">
        <w:rPr>
          <w:rFonts w:cs="David" w:hint="cs"/>
          <w:sz w:val="24"/>
          <w:szCs w:val="24"/>
          <w:rtl/>
        </w:rPr>
        <w:t>, 1997.</w:t>
      </w:r>
      <w:r w:rsidRPr="001231DF">
        <w:rPr>
          <w:rFonts w:cs="David"/>
          <w:sz w:val="24"/>
          <w:szCs w:val="24"/>
          <w:rtl/>
        </w:rPr>
        <w:t xml:space="preserve"> עמ' 251-226.</w:t>
      </w:r>
      <w:r>
        <w:rPr>
          <w:rFonts w:cs="David"/>
          <w:sz w:val="24"/>
          <w:szCs w:val="24"/>
          <w:rtl/>
        </w:rPr>
        <w:t xml:space="preserve">  </w:t>
      </w:r>
    </w:p>
    <w:p w:rsidR="00800AAC" w:rsidRPr="00800AAC" w:rsidRDefault="00800AAC" w:rsidP="001231DF">
      <w:pPr>
        <w:bidi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1231DF">
        <w:rPr>
          <w:rFonts w:asciiTheme="majorBidi" w:hAnsiTheme="majorBidi" w:cstheme="majorBidi"/>
          <w:sz w:val="24"/>
          <w:szCs w:val="24"/>
        </w:rPr>
        <w:t>Holmes</w:t>
      </w:r>
      <w:r w:rsidR="0078719E" w:rsidRPr="001231DF">
        <w:rPr>
          <w:rFonts w:asciiTheme="majorBidi" w:hAnsiTheme="majorBidi" w:cstheme="majorBidi"/>
          <w:sz w:val="24"/>
          <w:szCs w:val="24"/>
        </w:rPr>
        <w:t>,</w:t>
      </w:r>
      <w:r w:rsidRPr="001231DF">
        <w:rPr>
          <w:rFonts w:asciiTheme="majorBidi" w:hAnsiTheme="majorBidi" w:cstheme="majorBidi"/>
          <w:sz w:val="24"/>
          <w:szCs w:val="24"/>
        </w:rPr>
        <w:t xml:space="preserve"> Brian, </w:t>
      </w:r>
      <w:r w:rsidR="0078719E" w:rsidRPr="001231DF">
        <w:rPr>
          <w:rFonts w:asciiTheme="majorBidi" w:hAnsiTheme="majorBidi" w:cstheme="majorBidi"/>
          <w:sz w:val="24"/>
          <w:szCs w:val="24"/>
        </w:rPr>
        <w:t>"</w:t>
      </w:r>
      <w:r w:rsidRPr="001231DF">
        <w:rPr>
          <w:rFonts w:asciiTheme="majorBidi" w:hAnsiTheme="majorBidi" w:cstheme="majorBidi"/>
          <w:sz w:val="24"/>
          <w:szCs w:val="24"/>
        </w:rPr>
        <w:t>Do-It-Yourself Geopolitics: Cartography of Art in the World</w:t>
      </w:r>
      <w:r w:rsidR="0078719E" w:rsidRPr="001231DF">
        <w:rPr>
          <w:rFonts w:asciiTheme="majorBidi" w:hAnsiTheme="majorBidi" w:cstheme="majorBidi"/>
          <w:sz w:val="24"/>
          <w:szCs w:val="24"/>
        </w:rPr>
        <w:t>", in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78719E" w:rsidRPr="001231DF">
        <w:rPr>
          <w:rFonts w:asciiTheme="majorBidi" w:hAnsiTheme="majorBidi" w:cstheme="majorBidi"/>
          <w:i/>
          <w:iCs/>
          <w:sz w:val="24"/>
          <w:szCs w:val="24"/>
        </w:rPr>
        <w:t>Collectivism after Modernism</w:t>
      </w:r>
      <w:r w:rsidR="0078719E" w:rsidRPr="001231DF">
        <w:rPr>
          <w:rFonts w:asciiTheme="majorBidi" w:hAnsiTheme="majorBidi" w:cstheme="majorBidi"/>
          <w:sz w:val="24"/>
          <w:szCs w:val="24"/>
        </w:rPr>
        <w:t xml:space="preserve"> (eds. </w:t>
      </w:r>
      <w:r w:rsidRPr="001231DF">
        <w:rPr>
          <w:rFonts w:asciiTheme="majorBidi" w:hAnsiTheme="majorBidi" w:cstheme="majorBidi"/>
          <w:sz w:val="24"/>
          <w:szCs w:val="24"/>
        </w:rPr>
        <w:t xml:space="preserve">Stimson Blake and Sholette Gregory.), </w:t>
      </w:r>
      <w:r w:rsidR="001231DF" w:rsidRPr="001231DF">
        <w:rPr>
          <w:rFonts w:asciiTheme="majorBidi" w:hAnsiTheme="majorBidi" w:cstheme="majorBidi"/>
          <w:sz w:val="24"/>
          <w:szCs w:val="24"/>
        </w:rPr>
        <w:t>Minneapolis</w:t>
      </w:r>
      <w:r w:rsidR="001231DF">
        <w:rPr>
          <w:rFonts w:asciiTheme="majorBidi" w:hAnsiTheme="majorBidi" w:cstheme="majorBidi"/>
          <w:sz w:val="24"/>
          <w:szCs w:val="24"/>
        </w:rPr>
        <w:t>: University of Minnesota Press</w:t>
      </w:r>
      <w:r w:rsidRPr="001231DF">
        <w:rPr>
          <w:rFonts w:asciiTheme="majorBidi" w:hAnsiTheme="majorBidi" w:cstheme="majorBidi"/>
          <w:sz w:val="24"/>
          <w:szCs w:val="24"/>
        </w:rPr>
        <w:t>,</w:t>
      </w:r>
      <w:r w:rsidR="0078719E" w:rsidRPr="001231DF">
        <w:rPr>
          <w:rFonts w:asciiTheme="majorBidi" w:hAnsiTheme="majorBidi" w:cstheme="majorBidi"/>
          <w:sz w:val="24"/>
          <w:szCs w:val="24"/>
        </w:rPr>
        <w:t xml:space="preserve"> 2007.</w:t>
      </w:r>
      <w:r w:rsidRPr="001231DF">
        <w:rPr>
          <w:rFonts w:asciiTheme="majorBidi" w:hAnsiTheme="majorBidi" w:cstheme="majorBidi"/>
          <w:sz w:val="24"/>
          <w:szCs w:val="24"/>
        </w:rPr>
        <w:t xml:space="preserve"> pp. 273-293.</w:t>
      </w:r>
      <w:r w:rsidRPr="00800AAC">
        <w:rPr>
          <w:rFonts w:asciiTheme="majorBidi" w:hAnsiTheme="majorBidi" w:cstheme="majorBidi"/>
          <w:sz w:val="24"/>
          <w:szCs w:val="24"/>
        </w:rPr>
        <w:t xml:space="preserve">   </w:t>
      </w:r>
    </w:p>
    <w:p w:rsidR="00800AAC" w:rsidRPr="002E6540" w:rsidRDefault="00800AAC" w:rsidP="008D4E6D">
      <w:pPr>
        <w:pStyle w:val="1"/>
        <w:shd w:val="clear" w:color="auto" w:fill="FFFFFF"/>
        <w:bidi w:val="0"/>
        <w:spacing w:after="600" w:line="240" w:lineRule="auto"/>
        <w:jc w:val="both"/>
        <w:rPr>
          <w:rStyle w:val="Hyperlink"/>
          <w:rFonts w:asciiTheme="majorBidi" w:hAnsiTheme="majorBidi" w:cstheme="majorBidi"/>
          <w:sz w:val="24"/>
        </w:rPr>
      </w:pPr>
      <w:r w:rsidRPr="001231DF">
        <w:rPr>
          <w:rFonts w:cs="David"/>
          <w:sz w:val="24"/>
        </w:rPr>
        <w:t>Kester</w:t>
      </w:r>
      <w:r w:rsidR="0078719E" w:rsidRPr="001231DF">
        <w:rPr>
          <w:rFonts w:cs="David"/>
          <w:sz w:val="24"/>
        </w:rPr>
        <w:t>,</w:t>
      </w:r>
      <w:r w:rsidRPr="001231DF">
        <w:rPr>
          <w:rFonts w:cs="David"/>
          <w:sz w:val="24"/>
        </w:rPr>
        <w:t xml:space="preserve"> H. Grant, </w:t>
      </w:r>
      <w:r w:rsidR="0078719E" w:rsidRPr="001231DF">
        <w:rPr>
          <w:rFonts w:asciiTheme="majorBidi" w:hAnsiTheme="majorBidi" w:cstheme="majorBidi"/>
          <w:color w:val="000000"/>
          <w:sz w:val="24"/>
        </w:rPr>
        <w:t>"</w:t>
      </w:r>
      <w:r w:rsidRPr="001231DF">
        <w:rPr>
          <w:rFonts w:asciiTheme="majorBidi" w:hAnsiTheme="majorBidi" w:cstheme="majorBidi"/>
          <w:color w:val="000000"/>
          <w:sz w:val="24"/>
        </w:rPr>
        <w:t>The Sound of Breaking Glass, Part I: Spontaneity and Consciousness in Revolutionary Theor</w:t>
      </w:r>
      <w:r w:rsidR="00615331" w:rsidRPr="001231DF">
        <w:rPr>
          <w:rFonts w:asciiTheme="majorBidi" w:hAnsiTheme="majorBidi" w:cstheme="majorBidi"/>
          <w:color w:val="000000"/>
          <w:sz w:val="24"/>
        </w:rPr>
        <w:t xml:space="preserve">y", </w:t>
      </w:r>
      <w:r w:rsidRPr="001231DF">
        <w:rPr>
          <w:rFonts w:asciiTheme="majorBidi" w:hAnsiTheme="majorBidi" w:cstheme="majorBidi"/>
          <w:i/>
          <w:iCs/>
          <w:sz w:val="24"/>
        </w:rPr>
        <w:t>E-flux</w:t>
      </w:r>
      <w:r w:rsidRPr="001231DF">
        <w:rPr>
          <w:rFonts w:asciiTheme="majorBidi" w:hAnsiTheme="majorBidi" w:cstheme="majorBidi"/>
          <w:sz w:val="24"/>
        </w:rPr>
        <w:t xml:space="preserve">, </w:t>
      </w:r>
      <w:r w:rsidR="002E6540" w:rsidRPr="001231DF">
        <w:rPr>
          <w:rFonts w:asciiTheme="majorBidi" w:hAnsiTheme="majorBidi" w:cstheme="majorBidi"/>
          <w:sz w:val="24"/>
        </w:rPr>
        <w:t>Vol. 30</w:t>
      </w:r>
      <w:r w:rsidR="0078719E" w:rsidRPr="001231DF">
        <w:rPr>
          <w:rFonts w:asciiTheme="majorBidi" w:hAnsiTheme="majorBidi" w:cstheme="majorBidi"/>
          <w:sz w:val="24"/>
        </w:rPr>
        <w:t xml:space="preserve"> </w:t>
      </w:r>
      <w:r w:rsidR="002E6540" w:rsidRPr="001231DF">
        <w:rPr>
          <w:rFonts w:asciiTheme="majorBidi" w:hAnsiTheme="majorBidi" w:cstheme="majorBidi"/>
          <w:sz w:val="24"/>
        </w:rPr>
        <w:t>(</w:t>
      </w:r>
      <w:r w:rsidR="0078719E" w:rsidRPr="001231DF">
        <w:rPr>
          <w:rFonts w:asciiTheme="majorBidi" w:hAnsiTheme="majorBidi" w:cstheme="majorBidi"/>
          <w:sz w:val="24"/>
        </w:rPr>
        <w:t>2011</w:t>
      </w:r>
      <w:r w:rsidR="002E6540" w:rsidRPr="001231DF">
        <w:rPr>
          <w:rFonts w:asciiTheme="majorBidi" w:hAnsiTheme="majorBidi" w:cstheme="majorBidi"/>
          <w:sz w:val="24"/>
        </w:rPr>
        <w:t>)</w:t>
      </w:r>
      <w:r w:rsidR="001231DF">
        <w:rPr>
          <w:rFonts w:asciiTheme="majorBidi" w:hAnsiTheme="majorBidi" w:cstheme="majorBidi"/>
          <w:sz w:val="24"/>
        </w:rPr>
        <w:t>.</w:t>
      </w:r>
      <w:r w:rsidRPr="001231DF">
        <w:rPr>
          <w:rFonts w:asciiTheme="majorBidi" w:hAnsiTheme="majorBidi" w:cstheme="majorBidi"/>
          <w:sz w:val="24"/>
        </w:rPr>
        <w:t xml:space="preserve"> </w:t>
      </w:r>
      <w:r w:rsidR="008D4E6D" w:rsidRPr="008D4E6D">
        <w:rPr>
          <w:rFonts w:ascii="David" w:hAnsi="David" w:cs="David"/>
          <w:sz w:val="24"/>
        </w:rPr>
        <w:t>Retrieved June 1 201</w:t>
      </w:r>
      <w:r w:rsidR="008D4E6D">
        <w:rPr>
          <w:rFonts w:ascii="David" w:hAnsi="David" w:cs="David"/>
          <w:sz w:val="24"/>
        </w:rPr>
        <w:t>7</w:t>
      </w:r>
      <w:r w:rsidR="008D4E6D" w:rsidRPr="008D4E6D">
        <w:rPr>
          <w:rFonts w:ascii="David" w:hAnsi="David" w:cs="David"/>
          <w:sz w:val="24"/>
        </w:rPr>
        <w:t xml:space="preserve"> from</w:t>
      </w:r>
      <w:r w:rsidR="002E6540" w:rsidRPr="001231DF">
        <w:rPr>
          <w:rFonts w:ascii="David" w:hAnsi="David" w:cs="David"/>
          <w:sz w:val="24"/>
          <w:rtl/>
        </w:rPr>
        <w:t xml:space="preserve"> </w:t>
      </w:r>
      <w:hyperlink r:id="rId7" w:history="1">
        <w:r w:rsidR="001231DF" w:rsidRPr="007C7980">
          <w:rPr>
            <w:rStyle w:val="Hyperlink"/>
            <w:rFonts w:asciiTheme="majorBidi" w:hAnsiTheme="majorBidi" w:cstheme="majorBidi"/>
            <w:sz w:val="24"/>
          </w:rPr>
          <w:t>http://journal.bezalel.ac.il/he/article/3617</w:t>
        </w:r>
      </w:hyperlink>
    </w:p>
    <w:p w:rsidR="00800AAC" w:rsidRPr="00800AAC" w:rsidRDefault="00800AAC" w:rsidP="008D4E6D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31DF">
        <w:rPr>
          <w:rFonts w:asciiTheme="majorBidi" w:hAnsiTheme="majorBidi" w:cstheme="majorBidi"/>
          <w:sz w:val="24"/>
          <w:szCs w:val="24"/>
        </w:rPr>
        <w:t>Bourriaud</w:t>
      </w:r>
      <w:r w:rsidR="00586494" w:rsidRPr="001231DF">
        <w:rPr>
          <w:rFonts w:asciiTheme="majorBidi" w:hAnsiTheme="majorBidi" w:cstheme="majorBidi"/>
          <w:sz w:val="24"/>
          <w:szCs w:val="24"/>
        </w:rPr>
        <w:t>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586494" w:rsidRPr="001231DF">
        <w:rPr>
          <w:rFonts w:asciiTheme="majorBidi" w:hAnsiTheme="majorBidi" w:cstheme="majorBidi"/>
          <w:sz w:val="24"/>
          <w:szCs w:val="24"/>
        </w:rPr>
        <w:t>Nicolas,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Pr="001231DF">
        <w:rPr>
          <w:rFonts w:asciiTheme="majorBidi" w:hAnsiTheme="majorBidi" w:cstheme="majorBidi"/>
          <w:i/>
          <w:iCs/>
          <w:sz w:val="24"/>
          <w:szCs w:val="24"/>
        </w:rPr>
        <w:t>Relational Aesthetics</w:t>
      </w:r>
      <w:r w:rsidR="00586494" w:rsidRPr="001231DF">
        <w:rPr>
          <w:rFonts w:asciiTheme="majorBidi" w:hAnsiTheme="majorBidi" w:cstheme="majorBidi"/>
          <w:sz w:val="24"/>
          <w:szCs w:val="24"/>
        </w:rPr>
        <w:t xml:space="preserve">, </w:t>
      </w:r>
      <w:r w:rsidR="008C7DF5" w:rsidRPr="001231DF">
        <w:rPr>
          <w:rFonts w:asciiTheme="majorBidi" w:hAnsiTheme="majorBidi" w:cstheme="majorBidi"/>
          <w:sz w:val="24"/>
          <w:szCs w:val="24"/>
        </w:rPr>
        <w:t>(trans. Wade Baskin), Rance: Les Presse Du Reel</w:t>
      </w:r>
      <w:r w:rsidRPr="001231DF">
        <w:rPr>
          <w:rFonts w:asciiTheme="majorBidi" w:hAnsiTheme="majorBidi" w:cstheme="majorBidi"/>
          <w:sz w:val="24"/>
          <w:szCs w:val="24"/>
        </w:rPr>
        <w:t xml:space="preserve">, </w:t>
      </w:r>
      <w:r w:rsidR="00586494" w:rsidRPr="001231DF">
        <w:rPr>
          <w:rFonts w:asciiTheme="majorBidi" w:hAnsiTheme="majorBidi" w:cstheme="majorBidi"/>
          <w:sz w:val="24"/>
          <w:szCs w:val="24"/>
        </w:rPr>
        <w:t xml:space="preserve">1998. </w:t>
      </w:r>
      <w:r w:rsidRPr="001231DF">
        <w:rPr>
          <w:rFonts w:asciiTheme="majorBidi" w:hAnsiTheme="majorBidi" w:cstheme="majorBidi"/>
          <w:sz w:val="24"/>
          <w:szCs w:val="24"/>
        </w:rPr>
        <w:t>pp.11-41.</w:t>
      </w:r>
      <w:r w:rsidRPr="00800AAC">
        <w:rPr>
          <w:rFonts w:asciiTheme="majorBidi" w:hAnsiTheme="majorBidi" w:cstheme="majorBidi"/>
          <w:sz w:val="24"/>
          <w:szCs w:val="24"/>
        </w:rPr>
        <w:t xml:space="preserve"> </w:t>
      </w:r>
    </w:p>
    <w:p w:rsidR="00800AAC" w:rsidRPr="00800AAC" w:rsidRDefault="00800AAC" w:rsidP="0058649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231DF">
        <w:rPr>
          <w:rFonts w:asciiTheme="majorBidi" w:hAnsiTheme="majorBidi" w:cstheme="majorBidi"/>
          <w:sz w:val="24"/>
          <w:szCs w:val="24"/>
        </w:rPr>
        <w:t>Bishop</w:t>
      </w:r>
      <w:r w:rsidR="00586494" w:rsidRPr="001231DF">
        <w:rPr>
          <w:rFonts w:asciiTheme="majorBidi" w:hAnsiTheme="majorBidi" w:cstheme="majorBidi"/>
          <w:sz w:val="24"/>
          <w:szCs w:val="24"/>
        </w:rPr>
        <w:t>, Claire,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586494" w:rsidRPr="001231DF">
        <w:rPr>
          <w:rFonts w:asciiTheme="majorBidi" w:hAnsiTheme="majorBidi" w:cstheme="majorBidi"/>
          <w:sz w:val="24"/>
          <w:szCs w:val="24"/>
        </w:rPr>
        <w:t>"</w:t>
      </w:r>
      <w:r w:rsidRPr="001231DF">
        <w:rPr>
          <w:rFonts w:asciiTheme="majorBidi" w:hAnsiTheme="majorBidi" w:cstheme="majorBidi"/>
          <w:sz w:val="24"/>
          <w:szCs w:val="24"/>
        </w:rPr>
        <w:t>Antag</w:t>
      </w:r>
      <w:r w:rsidR="00586494" w:rsidRPr="001231DF">
        <w:rPr>
          <w:rFonts w:asciiTheme="majorBidi" w:hAnsiTheme="majorBidi" w:cstheme="majorBidi"/>
          <w:sz w:val="24"/>
          <w:szCs w:val="24"/>
        </w:rPr>
        <w:t>onism and Relational Aesthetics",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Pr="001231DF">
        <w:rPr>
          <w:rFonts w:asciiTheme="majorBidi" w:hAnsiTheme="majorBidi" w:cstheme="majorBidi"/>
          <w:i/>
          <w:iCs/>
          <w:sz w:val="24"/>
          <w:szCs w:val="24"/>
        </w:rPr>
        <w:t>October</w:t>
      </w:r>
      <w:r w:rsidRPr="001231DF">
        <w:rPr>
          <w:rFonts w:asciiTheme="majorBidi" w:hAnsiTheme="majorBidi" w:cstheme="majorBidi"/>
          <w:sz w:val="24"/>
          <w:szCs w:val="24"/>
        </w:rPr>
        <w:t xml:space="preserve">, </w:t>
      </w:r>
      <w:r w:rsidR="00586494" w:rsidRPr="001231DF">
        <w:rPr>
          <w:rFonts w:asciiTheme="majorBidi" w:hAnsiTheme="majorBidi" w:cstheme="majorBidi"/>
          <w:sz w:val="24"/>
          <w:szCs w:val="24"/>
        </w:rPr>
        <w:t xml:space="preserve">Vol. 110 </w:t>
      </w:r>
      <w:r w:rsidRPr="001231DF">
        <w:rPr>
          <w:rFonts w:asciiTheme="majorBidi" w:hAnsiTheme="majorBidi" w:cstheme="majorBidi"/>
          <w:sz w:val="24"/>
          <w:szCs w:val="24"/>
        </w:rPr>
        <w:t>(</w:t>
      </w:r>
      <w:r w:rsidR="00586494" w:rsidRPr="001231DF">
        <w:rPr>
          <w:rFonts w:asciiTheme="majorBidi" w:hAnsiTheme="majorBidi" w:cstheme="majorBidi"/>
          <w:sz w:val="24"/>
          <w:szCs w:val="24"/>
        </w:rPr>
        <w:t>2004).</w:t>
      </w:r>
      <w:r w:rsidRPr="001231DF">
        <w:rPr>
          <w:rFonts w:asciiTheme="majorBidi" w:hAnsiTheme="majorBidi" w:cstheme="majorBidi"/>
          <w:sz w:val="24"/>
          <w:szCs w:val="24"/>
        </w:rPr>
        <w:t xml:space="preserve"> 51-79.</w:t>
      </w:r>
      <w:r w:rsidRPr="00800AAC">
        <w:rPr>
          <w:rFonts w:asciiTheme="majorBidi" w:hAnsiTheme="majorBidi" w:cstheme="majorBidi"/>
          <w:sz w:val="24"/>
          <w:szCs w:val="24"/>
        </w:rPr>
        <w:t xml:space="preserve"> </w:t>
      </w:r>
    </w:p>
    <w:p w:rsidR="00800AAC" w:rsidRPr="00800AAC" w:rsidRDefault="00800AAC" w:rsidP="001231D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231DF">
        <w:rPr>
          <w:rFonts w:asciiTheme="majorBidi" w:hAnsiTheme="majorBidi" w:cstheme="majorBidi"/>
          <w:sz w:val="24"/>
          <w:szCs w:val="24"/>
        </w:rPr>
        <w:t>Helguera</w:t>
      </w:r>
      <w:r w:rsidR="00586494" w:rsidRPr="001231DF">
        <w:rPr>
          <w:rFonts w:asciiTheme="majorBidi" w:hAnsiTheme="majorBidi" w:cstheme="majorBidi"/>
          <w:sz w:val="24"/>
          <w:szCs w:val="24"/>
        </w:rPr>
        <w:t>,</w:t>
      </w:r>
      <w:r w:rsidRPr="001231DF">
        <w:rPr>
          <w:rFonts w:asciiTheme="majorBidi" w:hAnsiTheme="majorBidi" w:cstheme="majorBidi"/>
          <w:sz w:val="24"/>
          <w:szCs w:val="24"/>
        </w:rPr>
        <w:t xml:space="preserve"> Pablo, </w:t>
      </w:r>
      <w:r w:rsidR="001231DF">
        <w:rPr>
          <w:rFonts w:asciiTheme="majorBidi" w:hAnsiTheme="majorBidi" w:cstheme="majorBidi"/>
          <w:sz w:val="24"/>
          <w:szCs w:val="24"/>
        </w:rPr>
        <w:t>"</w:t>
      </w:r>
      <w:r w:rsidRPr="001231DF">
        <w:rPr>
          <w:rFonts w:asciiTheme="majorBidi" w:hAnsiTheme="majorBidi" w:cstheme="majorBidi"/>
          <w:sz w:val="24"/>
          <w:szCs w:val="24"/>
        </w:rPr>
        <w:t>Education of Socially Engaged Art</w:t>
      </w:r>
      <w:r w:rsidR="001231DF">
        <w:rPr>
          <w:rFonts w:asciiTheme="majorBidi" w:hAnsiTheme="majorBidi" w:cstheme="majorBidi"/>
          <w:sz w:val="24"/>
          <w:szCs w:val="24"/>
        </w:rPr>
        <w:t>"</w:t>
      </w:r>
      <w:r w:rsidR="00586494" w:rsidRPr="001231DF">
        <w:rPr>
          <w:rFonts w:asciiTheme="majorBidi" w:hAnsiTheme="majorBidi" w:cstheme="majorBidi"/>
          <w:sz w:val="24"/>
          <w:szCs w:val="24"/>
        </w:rPr>
        <w:t>,</w:t>
      </w:r>
      <w:r w:rsidR="001231DF">
        <w:rPr>
          <w:rFonts w:asciiTheme="majorBidi" w:hAnsiTheme="majorBidi" w:cstheme="majorBidi"/>
          <w:sz w:val="24"/>
          <w:szCs w:val="24"/>
        </w:rPr>
        <w:t xml:space="preserve"> in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1231DF" w:rsidRPr="001231DF">
        <w:rPr>
          <w:rFonts w:asciiTheme="majorBidi" w:hAnsiTheme="majorBidi" w:cstheme="majorBidi"/>
          <w:i/>
          <w:iCs/>
          <w:sz w:val="24"/>
          <w:szCs w:val="24"/>
        </w:rPr>
        <w:t>Pedagogy in the Expanded Field</w:t>
      </w:r>
      <w:r w:rsidR="001231DF">
        <w:rPr>
          <w:rFonts w:asciiTheme="majorBidi" w:hAnsiTheme="majorBidi" w:cstheme="majorBidi"/>
          <w:sz w:val="24"/>
          <w:szCs w:val="24"/>
        </w:rPr>
        <w:t xml:space="preserve"> (ed. </w:t>
      </w:r>
      <w:r w:rsidR="001231DF" w:rsidRPr="001231DF">
        <w:rPr>
          <w:rFonts w:asciiTheme="majorBidi" w:hAnsiTheme="majorBidi" w:cstheme="majorBidi"/>
          <w:sz w:val="24"/>
          <w:szCs w:val="24"/>
        </w:rPr>
        <w:t xml:space="preserve">Pablo Helguera.), </w:t>
      </w:r>
      <w:r w:rsidR="001231DF">
        <w:rPr>
          <w:rFonts w:asciiTheme="majorBidi" w:hAnsiTheme="majorBidi" w:cstheme="majorBidi"/>
          <w:sz w:val="24"/>
          <w:szCs w:val="24"/>
        </w:rPr>
        <w:t>New York: Jorge Pinto Books Inc,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586494" w:rsidRPr="001231DF">
        <w:rPr>
          <w:rFonts w:asciiTheme="majorBidi" w:hAnsiTheme="majorBidi" w:cstheme="majorBidi"/>
          <w:sz w:val="24"/>
          <w:szCs w:val="24"/>
        </w:rPr>
        <w:t>2011. pp.</w:t>
      </w:r>
      <w:r w:rsidR="001231DF" w:rsidRPr="001231DF">
        <w:rPr>
          <w:rFonts w:asciiTheme="majorBidi" w:hAnsiTheme="majorBidi" w:cstheme="majorBidi"/>
          <w:sz w:val="24"/>
          <w:szCs w:val="24"/>
        </w:rPr>
        <w:t xml:space="preserve"> 308-314</w:t>
      </w:r>
      <w:r w:rsidRPr="001231DF">
        <w:rPr>
          <w:rFonts w:asciiTheme="majorBidi" w:hAnsiTheme="majorBidi" w:cstheme="majorBidi"/>
          <w:sz w:val="24"/>
          <w:szCs w:val="24"/>
        </w:rPr>
        <w:t>.</w:t>
      </w:r>
      <w:r w:rsidRPr="00800AAC">
        <w:rPr>
          <w:rFonts w:asciiTheme="majorBidi" w:hAnsiTheme="majorBidi" w:cstheme="majorBidi"/>
          <w:sz w:val="24"/>
          <w:szCs w:val="24"/>
        </w:rPr>
        <w:t xml:space="preserve"> </w:t>
      </w:r>
    </w:p>
    <w:p w:rsidR="008D4E6D" w:rsidRDefault="00800AAC" w:rsidP="008D4E6D">
      <w:pPr>
        <w:bidi w:val="0"/>
        <w:spacing w:line="240" w:lineRule="auto"/>
        <w:jc w:val="both"/>
        <w:rPr>
          <w:rFonts w:ascii="David" w:hAnsi="David" w:cs="David"/>
          <w:sz w:val="24"/>
          <w:szCs w:val="24"/>
        </w:rPr>
      </w:pPr>
      <w:r w:rsidRPr="001231DF">
        <w:rPr>
          <w:rFonts w:asciiTheme="majorBidi" w:hAnsiTheme="majorBidi" w:cstheme="majorBidi"/>
          <w:sz w:val="24"/>
          <w:szCs w:val="24"/>
        </w:rPr>
        <w:t>Jacob</w:t>
      </w:r>
      <w:r w:rsidR="00A12FF4" w:rsidRPr="001231DF">
        <w:rPr>
          <w:rFonts w:asciiTheme="majorBidi" w:hAnsiTheme="majorBidi" w:cstheme="majorBidi"/>
          <w:sz w:val="24"/>
          <w:szCs w:val="24"/>
        </w:rPr>
        <w:t>,</w:t>
      </w:r>
      <w:r w:rsidRPr="001231DF">
        <w:rPr>
          <w:rFonts w:asciiTheme="majorBidi" w:hAnsiTheme="majorBidi" w:cstheme="majorBidi"/>
          <w:sz w:val="24"/>
          <w:szCs w:val="24"/>
        </w:rPr>
        <w:t xml:space="preserve"> M. Jane,</w:t>
      </w:r>
      <w:r w:rsidR="00A12FF4" w:rsidRPr="001231DF">
        <w:rPr>
          <w:rFonts w:asciiTheme="majorBidi" w:hAnsiTheme="majorBidi" w:cstheme="majorBidi"/>
          <w:sz w:val="24"/>
          <w:szCs w:val="24"/>
        </w:rPr>
        <w:t xml:space="preserve"> Reaching the Goal: Curating Conversations, in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A12FF4" w:rsidRPr="001231DF">
        <w:rPr>
          <w:rFonts w:asciiTheme="majorBidi" w:hAnsiTheme="majorBidi" w:cstheme="majorBidi"/>
          <w:i/>
          <w:iCs/>
          <w:kern w:val="36"/>
          <w:sz w:val="24"/>
          <w:szCs w:val="24"/>
        </w:rPr>
        <w:t xml:space="preserve">Conversations at the castle: </w:t>
      </w:r>
      <w:r w:rsidR="00A12FF4" w:rsidRPr="001231DF">
        <w:rPr>
          <w:rFonts w:asciiTheme="majorBidi" w:hAnsiTheme="majorBidi" w:cstheme="majorBidi"/>
          <w:i/>
          <w:iCs/>
          <w:sz w:val="24"/>
          <w:szCs w:val="24"/>
        </w:rPr>
        <w:t>Changing Audiences and Contemporary Art</w:t>
      </w:r>
      <w:r w:rsidR="00A12FF4" w:rsidRPr="001231DF">
        <w:rPr>
          <w:rFonts w:asciiTheme="majorBidi" w:hAnsiTheme="majorBidi" w:cstheme="majorBidi"/>
          <w:sz w:val="24"/>
          <w:szCs w:val="24"/>
        </w:rPr>
        <w:t xml:space="preserve"> (eds. </w:t>
      </w:r>
      <w:r w:rsidRPr="001231DF">
        <w:rPr>
          <w:rFonts w:asciiTheme="majorBidi" w:hAnsiTheme="majorBidi" w:cstheme="majorBidi"/>
          <w:sz w:val="24"/>
          <w:szCs w:val="24"/>
        </w:rPr>
        <w:t>Mar</w:t>
      </w:r>
      <w:r w:rsidR="00A12FF4" w:rsidRPr="001231DF">
        <w:rPr>
          <w:rFonts w:asciiTheme="majorBidi" w:hAnsiTheme="majorBidi" w:cstheme="majorBidi"/>
          <w:sz w:val="24"/>
          <w:szCs w:val="24"/>
        </w:rPr>
        <w:t>y Jane Jacob and Michael Brenson</w:t>
      </w:r>
      <w:r w:rsidRPr="001231DF">
        <w:rPr>
          <w:rFonts w:asciiTheme="majorBidi" w:hAnsiTheme="majorBidi" w:cstheme="majorBidi"/>
          <w:sz w:val="24"/>
          <w:szCs w:val="24"/>
        </w:rPr>
        <w:t xml:space="preserve">), </w:t>
      </w:r>
      <w:r w:rsidRPr="001231DF">
        <w:rPr>
          <w:rFonts w:asciiTheme="majorBidi" w:eastAsia="Arial Unicode MS" w:hAnsiTheme="majorBidi" w:cstheme="majorBidi"/>
          <w:sz w:val="24"/>
          <w:szCs w:val="24"/>
        </w:rPr>
        <w:t>Cambridge, Mass</w:t>
      </w:r>
      <w:r w:rsidR="001231DF">
        <w:rPr>
          <w:rFonts w:asciiTheme="majorBidi" w:hAnsiTheme="majorBidi" w:cstheme="majorBidi"/>
          <w:sz w:val="24"/>
          <w:szCs w:val="24"/>
        </w:rPr>
        <w:t>: MIT Press,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A12FF4" w:rsidRPr="001231DF">
        <w:rPr>
          <w:rFonts w:asciiTheme="majorBidi" w:hAnsiTheme="majorBidi" w:cstheme="majorBidi"/>
          <w:sz w:val="24"/>
          <w:szCs w:val="24"/>
        </w:rPr>
        <w:t xml:space="preserve">1988. pp. </w:t>
      </w:r>
      <w:r w:rsidR="001231DF">
        <w:rPr>
          <w:rFonts w:asciiTheme="majorBidi" w:hAnsiTheme="majorBidi" w:cstheme="majorBidi"/>
          <w:sz w:val="24"/>
          <w:szCs w:val="24"/>
        </w:rPr>
        <w:t>1-11</w:t>
      </w:r>
      <w:r w:rsidR="00A12FF4" w:rsidRPr="001231DF">
        <w:rPr>
          <w:rFonts w:asciiTheme="majorBidi" w:hAnsiTheme="majorBidi" w:cstheme="majorBidi"/>
          <w:sz w:val="24"/>
          <w:szCs w:val="24"/>
        </w:rPr>
        <w:t>.</w:t>
      </w:r>
      <w:r w:rsidR="008D4E6D">
        <w:rPr>
          <w:rFonts w:asciiTheme="majorBidi" w:hAnsiTheme="majorBidi" w:cstheme="majorBidi"/>
          <w:sz w:val="24"/>
          <w:szCs w:val="24"/>
        </w:rPr>
        <w:t xml:space="preserve"> </w:t>
      </w:r>
      <w:r w:rsidR="008D4E6D" w:rsidRPr="008D4E6D">
        <w:rPr>
          <w:rFonts w:ascii="David" w:hAnsi="David" w:cs="David"/>
          <w:sz w:val="24"/>
          <w:szCs w:val="24"/>
        </w:rPr>
        <w:t>Retrieved June 1 201</w:t>
      </w:r>
      <w:r w:rsidR="008D4E6D">
        <w:rPr>
          <w:rFonts w:ascii="David" w:hAnsi="David" w:cs="David"/>
          <w:sz w:val="24"/>
          <w:szCs w:val="24"/>
        </w:rPr>
        <w:t>7</w:t>
      </w:r>
      <w:r w:rsidR="008D4E6D" w:rsidRPr="008D4E6D">
        <w:rPr>
          <w:rFonts w:ascii="David" w:hAnsi="David" w:cs="David"/>
          <w:sz w:val="24"/>
          <w:szCs w:val="24"/>
        </w:rPr>
        <w:t xml:space="preserve"> from</w:t>
      </w:r>
    </w:p>
    <w:p w:rsidR="00800AAC" w:rsidRPr="00800AAC" w:rsidRDefault="00726441" w:rsidP="008D4E6D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hyperlink r:id="rId8" w:history="1">
        <w:r w:rsidR="00800AAC" w:rsidRPr="00800AAC">
          <w:rPr>
            <w:rStyle w:val="Hyperlink"/>
            <w:rFonts w:asciiTheme="majorBidi" w:hAnsiTheme="majorBidi" w:cstheme="majorBidi"/>
            <w:sz w:val="24"/>
            <w:szCs w:val="24"/>
          </w:rPr>
          <w:t>http://www.maryjanejacob.org/sub_pages/exhibitions/exh_in_public_sites/conversations_castle.html</w:t>
        </w:r>
      </w:hyperlink>
    </w:p>
    <w:p w:rsidR="008D4E6D" w:rsidRDefault="00800AAC" w:rsidP="001231DF">
      <w:pPr>
        <w:bidi w:val="0"/>
        <w:jc w:val="both"/>
        <w:rPr>
          <w:rFonts w:ascii="David" w:hAnsi="David" w:cs="David"/>
          <w:sz w:val="24"/>
          <w:szCs w:val="24"/>
        </w:rPr>
      </w:pPr>
      <w:r w:rsidRPr="00800AAC">
        <w:rPr>
          <w:rFonts w:asciiTheme="majorBidi" w:hAnsiTheme="majorBidi" w:cstheme="majorBidi"/>
          <w:sz w:val="24"/>
          <w:szCs w:val="24"/>
        </w:rPr>
        <w:t>Matarasso</w:t>
      </w:r>
      <w:r w:rsidR="00A12FF4">
        <w:rPr>
          <w:rFonts w:asciiTheme="majorBidi" w:hAnsiTheme="majorBidi" w:cstheme="majorBidi"/>
          <w:sz w:val="24"/>
          <w:szCs w:val="24"/>
        </w:rPr>
        <w:t>,</w:t>
      </w:r>
      <w:r w:rsidRPr="00800AAC">
        <w:rPr>
          <w:rFonts w:asciiTheme="majorBidi" w:hAnsiTheme="majorBidi" w:cstheme="majorBidi"/>
          <w:sz w:val="24"/>
          <w:szCs w:val="24"/>
        </w:rPr>
        <w:t xml:space="preserve"> Francois, </w:t>
      </w:r>
      <w:r w:rsidRPr="00A12FF4">
        <w:rPr>
          <w:rFonts w:asciiTheme="majorBidi" w:hAnsiTheme="majorBidi" w:cstheme="majorBidi"/>
          <w:i/>
          <w:iCs/>
          <w:sz w:val="24"/>
          <w:szCs w:val="24"/>
        </w:rPr>
        <w:t>Use or Ornament? The Social Impact of Participation in the Arts</w:t>
      </w:r>
      <w:r w:rsidRPr="00800AAC">
        <w:rPr>
          <w:rFonts w:asciiTheme="majorBidi" w:hAnsiTheme="majorBidi" w:cstheme="majorBidi"/>
          <w:sz w:val="24"/>
          <w:szCs w:val="24"/>
        </w:rPr>
        <w:t xml:space="preserve">, </w:t>
      </w:r>
      <w:r w:rsidRPr="00A12FF4">
        <w:rPr>
          <w:rFonts w:asciiTheme="majorBidi" w:hAnsiTheme="majorBidi" w:cstheme="majorBidi"/>
          <w:sz w:val="24"/>
          <w:szCs w:val="24"/>
        </w:rPr>
        <w:t>Comedia</w:t>
      </w:r>
      <w:r w:rsidR="00A12FF4">
        <w:rPr>
          <w:rFonts w:asciiTheme="majorBidi" w:hAnsiTheme="majorBidi" w:cstheme="majorBidi"/>
          <w:sz w:val="24"/>
          <w:szCs w:val="24"/>
        </w:rPr>
        <w:t>:</w:t>
      </w:r>
      <w:r w:rsidR="001231DF">
        <w:rPr>
          <w:rFonts w:asciiTheme="majorBidi" w:hAnsiTheme="majorBidi" w:cstheme="majorBidi"/>
          <w:sz w:val="24"/>
          <w:szCs w:val="24"/>
        </w:rPr>
        <w:t xml:space="preserve"> U.K</w:t>
      </w:r>
      <w:r w:rsidRPr="00800AAC">
        <w:rPr>
          <w:rFonts w:asciiTheme="majorBidi" w:hAnsiTheme="majorBidi" w:cstheme="majorBidi"/>
          <w:sz w:val="24"/>
          <w:szCs w:val="24"/>
        </w:rPr>
        <w:t xml:space="preserve">, </w:t>
      </w:r>
      <w:r w:rsidR="00A12FF4">
        <w:rPr>
          <w:rFonts w:asciiTheme="majorBidi" w:hAnsiTheme="majorBidi" w:cstheme="majorBidi"/>
          <w:sz w:val="24"/>
          <w:szCs w:val="24"/>
        </w:rPr>
        <w:t>1997.</w:t>
      </w:r>
      <w:r w:rsidR="008D4E6D">
        <w:rPr>
          <w:rFonts w:asciiTheme="majorBidi" w:hAnsiTheme="majorBidi" w:cstheme="majorBidi"/>
          <w:sz w:val="24"/>
          <w:szCs w:val="24"/>
        </w:rPr>
        <w:t xml:space="preserve"> </w:t>
      </w:r>
      <w:r w:rsidR="008D4E6D" w:rsidRPr="008D4E6D">
        <w:rPr>
          <w:rFonts w:ascii="David" w:hAnsi="David" w:cs="David"/>
          <w:sz w:val="24"/>
          <w:szCs w:val="24"/>
        </w:rPr>
        <w:t>Retrieved June 1 201</w:t>
      </w:r>
      <w:r w:rsidR="008D4E6D">
        <w:rPr>
          <w:rFonts w:ascii="David" w:hAnsi="David" w:cs="David"/>
          <w:sz w:val="24"/>
          <w:szCs w:val="24"/>
        </w:rPr>
        <w:t>7</w:t>
      </w:r>
      <w:r w:rsidR="008D4E6D" w:rsidRPr="008D4E6D">
        <w:rPr>
          <w:rFonts w:ascii="David" w:hAnsi="David" w:cs="David"/>
          <w:sz w:val="24"/>
          <w:szCs w:val="24"/>
        </w:rPr>
        <w:t xml:space="preserve"> from</w:t>
      </w:r>
    </w:p>
    <w:p w:rsidR="00800AAC" w:rsidRPr="00800AAC" w:rsidRDefault="001231DF" w:rsidP="008D4E6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800AAC" w:rsidRPr="00800AAC">
          <w:rPr>
            <w:rStyle w:val="Hyperlink"/>
            <w:rFonts w:asciiTheme="majorBidi" w:hAnsiTheme="majorBidi" w:cstheme="majorBidi"/>
            <w:sz w:val="24"/>
            <w:szCs w:val="24"/>
          </w:rPr>
          <w:t>http://mediation-danse.ch/fileadmin/dokumente/Vermittlung_ressources/Matarasso_Use_or_Ornament.pdf</w:t>
        </w:r>
      </w:hyperlink>
    </w:p>
    <w:p w:rsidR="00800AAC" w:rsidRPr="00800AAC" w:rsidRDefault="00800AAC" w:rsidP="00A12FF4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1231DF">
        <w:rPr>
          <w:rFonts w:asciiTheme="majorBidi" w:hAnsiTheme="majorBidi" w:cstheme="majorBidi"/>
          <w:sz w:val="24"/>
          <w:szCs w:val="24"/>
        </w:rPr>
        <w:t>Merli</w:t>
      </w:r>
      <w:r w:rsidR="00A12FF4" w:rsidRPr="001231DF">
        <w:rPr>
          <w:rFonts w:asciiTheme="majorBidi" w:hAnsiTheme="majorBidi" w:cstheme="majorBidi"/>
          <w:sz w:val="24"/>
          <w:szCs w:val="24"/>
        </w:rPr>
        <w:t>, Paola,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="00A12FF4" w:rsidRPr="001231DF">
        <w:rPr>
          <w:rFonts w:asciiTheme="majorBidi" w:hAnsiTheme="majorBidi" w:cstheme="majorBidi"/>
          <w:sz w:val="24"/>
          <w:szCs w:val="24"/>
        </w:rPr>
        <w:t>"Evaluating the Social Impact of Participation in Arts Activities",</w:t>
      </w:r>
      <w:r w:rsidRPr="001231DF">
        <w:rPr>
          <w:rFonts w:asciiTheme="majorBidi" w:hAnsiTheme="majorBidi" w:cstheme="majorBidi"/>
          <w:sz w:val="24"/>
          <w:szCs w:val="24"/>
        </w:rPr>
        <w:t xml:space="preserve"> </w:t>
      </w:r>
      <w:r w:rsidRPr="001231DF">
        <w:rPr>
          <w:rFonts w:asciiTheme="majorBidi" w:hAnsiTheme="majorBidi" w:cstheme="majorBidi"/>
          <w:i/>
          <w:iCs/>
          <w:sz w:val="24"/>
          <w:szCs w:val="24"/>
        </w:rPr>
        <w:t>International Journal of Cultural Policy</w:t>
      </w:r>
      <w:r w:rsidRPr="001231DF">
        <w:rPr>
          <w:rFonts w:asciiTheme="majorBidi" w:hAnsiTheme="majorBidi" w:cstheme="majorBidi"/>
          <w:sz w:val="24"/>
          <w:szCs w:val="24"/>
        </w:rPr>
        <w:t xml:space="preserve">, </w:t>
      </w:r>
      <w:r w:rsidR="00A12FF4" w:rsidRPr="001231DF">
        <w:rPr>
          <w:rFonts w:asciiTheme="majorBidi" w:hAnsiTheme="majorBidi" w:cstheme="majorBidi"/>
          <w:sz w:val="24"/>
          <w:szCs w:val="24"/>
        </w:rPr>
        <w:t xml:space="preserve">Vol. </w:t>
      </w:r>
      <w:r w:rsidRPr="001231DF">
        <w:rPr>
          <w:rFonts w:asciiTheme="majorBidi" w:hAnsiTheme="majorBidi" w:cstheme="majorBidi"/>
          <w:sz w:val="24"/>
          <w:szCs w:val="24"/>
        </w:rPr>
        <w:t>8</w:t>
      </w:r>
      <w:r w:rsidR="00A12FF4" w:rsidRPr="001231DF">
        <w:rPr>
          <w:rFonts w:asciiTheme="majorBidi" w:hAnsiTheme="majorBidi" w:cstheme="majorBidi"/>
          <w:sz w:val="24"/>
          <w:szCs w:val="24"/>
        </w:rPr>
        <w:t xml:space="preserve">:1 </w:t>
      </w:r>
      <w:r w:rsidRPr="001231DF">
        <w:rPr>
          <w:rFonts w:asciiTheme="majorBidi" w:hAnsiTheme="majorBidi" w:cstheme="majorBidi"/>
          <w:sz w:val="24"/>
          <w:szCs w:val="24"/>
        </w:rPr>
        <w:t>(</w:t>
      </w:r>
      <w:r w:rsidR="00A12FF4" w:rsidRPr="001231DF">
        <w:rPr>
          <w:rFonts w:asciiTheme="majorBidi" w:hAnsiTheme="majorBidi" w:cstheme="majorBidi"/>
          <w:sz w:val="24"/>
          <w:szCs w:val="24"/>
        </w:rPr>
        <w:t>2002). pp.</w:t>
      </w:r>
      <w:r w:rsidRPr="001231DF">
        <w:rPr>
          <w:rFonts w:asciiTheme="majorBidi" w:hAnsiTheme="majorBidi" w:cstheme="majorBidi"/>
          <w:sz w:val="24"/>
          <w:szCs w:val="24"/>
        </w:rPr>
        <w:t xml:space="preserve"> 107-118.</w:t>
      </w:r>
      <w:r w:rsidRPr="00800AAC">
        <w:rPr>
          <w:rFonts w:asciiTheme="majorBidi" w:hAnsiTheme="majorBidi" w:cstheme="majorBidi"/>
          <w:sz w:val="24"/>
          <w:szCs w:val="24"/>
        </w:rPr>
        <w:t xml:space="preserve"> </w:t>
      </w:r>
    </w:p>
    <w:p w:rsidR="00800AAC" w:rsidRDefault="00800AAC" w:rsidP="00A12FF4">
      <w:pPr>
        <w:jc w:val="both"/>
        <w:rPr>
          <w:rFonts w:cs="David"/>
          <w:sz w:val="24"/>
          <w:szCs w:val="24"/>
        </w:rPr>
      </w:pPr>
      <w:r w:rsidRPr="000319C3">
        <w:rPr>
          <w:rFonts w:cs="David"/>
          <w:kern w:val="36"/>
          <w:sz w:val="24"/>
          <w:szCs w:val="24"/>
          <w:rtl/>
        </w:rPr>
        <w:t>פינקפרל</w:t>
      </w:r>
      <w:r w:rsidR="00A12FF4" w:rsidRPr="000319C3">
        <w:rPr>
          <w:rFonts w:cs="David" w:hint="cs"/>
          <w:kern w:val="36"/>
          <w:sz w:val="24"/>
          <w:szCs w:val="24"/>
          <w:rtl/>
        </w:rPr>
        <w:t>,</w:t>
      </w:r>
      <w:r w:rsidR="00A12FF4" w:rsidRPr="000319C3">
        <w:rPr>
          <w:rFonts w:cs="David"/>
          <w:kern w:val="36"/>
          <w:sz w:val="24"/>
          <w:szCs w:val="24"/>
          <w:rtl/>
        </w:rPr>
        <w:t xml:space="preserve"> טום,</w:t>
      </w:r>
      <w:r w:rsidRPr="000319C3">
        <w:rPr>
          <w:rFonts w:cs="David"/>
          <w:kern w:val="36"/>
          <w:sz w:val="24"/>
          <w:szCs w:val="24"/>
          <w:rtl/>
        </w:rPr>
        <w:t xml:space="preserve"> </w:t>
      </w:r>
      <w:r w:rsidR="00A12FF4" w:rsidRPr="000319C3">
        <w:rPr>
          <w:rFonts w:cs="David" w:hint="cs"/>
          <w:kern w:val="36"/>
          <w:sz w:val="24"/>
          <w:szCs w:val="24"/>
          <w:rtl/>
        </w:rPr>
        <w:t>"</w:t>
      </w:r>
      <w:r w:rsidRPr="000319C3">
        <w:rPr>
          <w:rFonts w:cs="David"/>
          <w:kern w:val="36"/>
          <w:sz w:val="24"/>
          <w:szCs w:val="24"/>
          <w:rtl/>
        </w:rPr>
        <w:t>מעֵבר להושטת יד: מוזיאון ומחויבות קהילתית</w:t>
      </w:r>
      <w:r w:rsidR="00A12FF4" w:rsidRPr="000319C3">
        <w:rPr>
          <w:rFonts w:cs="David" w:hint="cs"/>
          <w:kern w:val="36"/>
          <w:sz w:val="24"/>
          <w:szCs w:val="24"/>
          <w:rtl/>
        </w:rPr>
        <w:t>"</w:t>
      </w:r>
      <w:r w:rsidRPr="000319C3">
        <w:rPr>
          <w:rFonts w:cs="David"/>
          <w:kern w:val="36"/>
          <w:sz w:val="24"/>
          <w:szCs w:val="24"/>
          <w:rtl/>
        </w:rPr>
        <w:t>,</w:t>
      </w:r>
      <w:r w:rsidR="00A12FF4" w:rsidRPr="000319C3">
        <w:rPr>
          <w:rFonts w:cs="David" w:hint="cs"/>
          <w:kern w:val="36"/>
          <w:sz w:val="24"/>
          <w:szCs w:val="24"/>
          <w:rtl/>
        </w:rPr>
        <w:t xml:space="preserve"> בתוך</w:t>
      </w:r>
      <w:r w:rsidRPr="000319C3">
        <w:rPr>
          <w:rFonts w:cs="David"/>
          <w:kern w:val="36"/>
          <w:sz w:val="24"/>
          <w:szCs w:val="24"/>
          <w:rtl/>
        </w:rPr>
        <w:t xml:space="preserve"> </w:t>
      </w:r>
      <w:r w:rsidRPr="000319C3">
        <w:rPr>
          <w:rFonts w:cs="David"/>
          <w:i/>
          <w:iCs/>
          <w:kern w:val="36"/>
          <w:sz w:val="24"/>
          <w:szCs w:val="24"/>
          <w:rtl/>
        </w:rPr>
        <w:t>מוזיאון: ערך שימוש</w:t>
      </w:r>
      <w:r w:rsidRPr="000319C3">
        <w:rPr>
          <w:rFonts w:cs="David"/>
          <w:kern w:val="36"/>
          <w:sz w:val="24"/>
          <w:szCs w:val="24"/>
          <w:rtl/>
        </w:rPr>
        <w:t xml:space="preserve">, </w:t>
      </w:r>
      <w:r w:rsidR="00A12FF4" w:rsidRPr="000319C3">
        <w:rPr>
          <w:rFonts w:cs="David" w:hint="cs"/>
          <w:kern w:val="36"/>
          <w:sz w:val="24"/>
          <w:szCs w:val="24"/>
          <w:rtl/>
        </w:rPr>
        <w:t>(</w:t>
      </w:r>
      <w:r w:rsidRPr="000319C3">
        <w:rPr>
          <w:rFonts w:cs="David"/>
          <w:kern w:val="36"/>
          <w:sz w:val="24"/>
          <w:szCs w:val="24"/>
          <w:rtl/>
        </w:rPr>
        <w:t>ערכה: דרורית גור אריה</w:t>
      </w:r>
      <w:r w:rsidR="00A12FF4" w:rsidRPr="000319C3">
        <w:rPr>
          <w:rFonts w:cs="David" w:hint="cs"/>
          <w:kern w:val="36"/>
          <w:sz w:val="24"/>
          <w:szCs w:val="24"/>
          <w:rtl/>
        </w:rPr>
        <w:t>)</w:t>
      </w:r>
      <w:r w:rsidRPr="000319C3">
        <w:rPr>
          <w:rFonts w:cs="David"/>
          <w:kern w:val="36"/>
          <w:sz w:val="24"/>
          <w:szCs w:val="24"/>
          <w:rtl/>
        </w:rPr>
        <w:t xml:space="preserve">, </w:t>
      </w:r>
      <w:r w:rsidR="00A12FF4" w:rsidRPr="000319C3">
        <w:rPr>
          <w:rFonts w:cs="David" w:hint="cs"/>
          <w:kern w:val="36"/>
          <w:sz w:val="24"/>
          <w:szCs w:val="24"/>
          <w:rtl/>
        </w:rPr>
        <w:t xml:space="preserve">תל אביב: </w:t>
      </w:r>
      <w:r w:rsidR="00A12FF4" w:rsidRPr="000319C3">
        <w:rPr>
          <w:rFonts w:cs="David"/>
          <w:kern w:val="36"/>
          <w:sz w:val="24"/>
          <w:szCs w:val="24"/>
          <w:rtl/>
        </w:rPr>
        <w:t>רסלינג</w:t>
      </w:r>
      <w:r w:rsidR="00A12FF4" w:rsidRPr="000319C3">
        <w:rPr>
          <w:rFonts w:cs="David" w:hint="cs"/>
          <w:kern w:val="36"/>
          <w:sz w:val="24"/>
          <w:szCs w:val="24"/>
          <w:rtl/>
        </w:rPr>
        <w:t>, 2014.</w:t>
      </w:r>
      <w:r w:rsidRPr="000319C3">
        <w:rPr>
          <w:rFonts w:cs="David"/>
          <w:kern w:val="36"/>
          <w:sz w:val="24"/>
          <w:szCs w:val="24"/>
          <w:rtl/>
        </w:rPr>
        <w:t xml:space="preserve"> עמ' 74-66.</w:t>
      </w:r>
      <w:r>
        <w:rPr>
          <w:rFonts w:cs="David"/>
          <w:sz w:val="24"/>
          <w:szCs w:val="24"/>
          <w:rtl/>
        </w:rPr>
        <w:t xml:space="preserve">  </w:t>
      </w:r>
    </w:p>
    <w:p w:rsidR="006441D6" w:rsidRDefault="006441D6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963431" w:rsidRPr="00A376FC" w:rsidRDefault="00963431" w:rsidP="00564489">
      <w:pPr>
        <w:spacing w:after="0"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A376FC">
        <w:rPr>
          <w:rFonts w:ascii="David" w:hAnsi="David" w:cs="David"/>
          <w:sz w:val="24"/>
          <w:szCs w:val="24"/>
          <w:u w:val="single"/>
          <w:rtl/>
        </w:rPr>
        <w:t>קריאת רשות</w:t>
      </w:r>
      <w:r w:rsidRPr="00800AAC">
        <w:rPr>
          <w:rFonts w:ascii="David" w:hAnsi="David" w:cs="David"/>
          <w:sz w:val="24"/>
          <w:szCs w:val="24"/>
          <w:rtl/>
        </w:rPr>
        <w:t>:</w:t>
      </w:r>
    </w:p>
    <w:p w:rsidR="00800AAC" w:rsidRPr="000319C3" w:rsidRDefault="00800AAC" w:rsidP="00A12FF4">
      <w:pPr>
        <w:jc w:val="both"/>
        <w:rPr>
          <w:rFonts w:cs="David"/>
          <w:sz w:val="24"/>
          <w:szCs w:val="24"/>
        </w:rPr>
      </w:pPr>
      <w:r w:rsidRPr="000319C3">
        <w:rPr>
          <w:rFonts w:cs="David"/>
          <w:sz w:val="24"/>
          <w:szCs w:val="24"/>
          <w:rtl/>
        </w:rPr>
        <w:t>* לורנד</w:t>
      </w:r>
      <w:r w:rsidR="00A12FF4" w:rsidRPr="000319C3">
        <w:rPr>
          <w:rFonts w:cs="David" w:hint="cs"/>
          <w:sz w:val="24"/>
          <w:szCs w:val="24"/>
          <w:rtl/>
        </w:rPr>
        <w:t>,</w:t>
      </w:r>
      <w:r w:rsidR="00A12FF4" w:rsidRPr="000319C3">
        <w:rPr>
          <w:rFonts w:cs="David"/>
          <w:sz w:val="24"/>
          <w:szCs w:val="24"/>
          <w:rtl/>
        </w:rPr>
        <w:t xml:space="preserve"> רות, </w:t>
      </w:r>
      <w:r w:rsidR="00A12FF4" w:rsidRPr="000319C3">
        <w:rPr>
          <w:rFonts w:cs="David" w:hint="cs"/>
          <w:sz w:val="24"/>
          <w:szCs w:val="24"/>
          <w:rtl/>
        </w:rPr>
        <w:t>"</w:t>
      </w:r>
      <w:r w:rsidRPr="000319C3">
        <w:rPr>
          <w:rFonts w:cs="David"/>
          <w:sz w:val="24"/>
          <w:szCs w:val="24"/>
          <w:rtl/>
        </w:rPr>
        <w:t>אמנות כמוסד חברתי – הגדרה ללא מהות</w:t>
      </w:r>
      <w:r w:rsidR="00A12FF4" w:rsidRPr="000319C3">
        <w:rPr>
          <w:rFonts w:cs="David" w:hint="cs"/>
          <w:sz w:val="24"/>
          <w:szCs w:val="24"/>
          <w:rtl/>
        </w:rPr>
        <w:t>"</w:t>
      </w:r>
      <w:r w:rsidRPr="000319C3">
        <w:rPr>
          <w:rFonts w:cs="David"/>
          <w:sz w:val="24"/>
          <w:szCs w:val="24"/>
          <w:rtl/>
        </w:rPr>
        <w:t>,</w:t>
      </w:r>
      <w:r w:rsidR="00A12FF4" w:rsidRPr="000319C3">
        <w:rPr>
          <w:rFonts w:cs="David" w:hint="cs"/>
          <w:sz w:val="24"/>
          <w:szCs w:val="24"/>
          <w:rtl/>
        </w:rPr>
        <w:t xml:space="preserve"> בתוך</w:t>
      </w:r>
      <w:r w:rsidRPr="000319C3">
        <w:rPr>
          <w:rFonts w:cs="David"/>
          <w:sz w:val="24"/>
          <w:szCs w:val="24"/>
          <w:rtl/>
        </w:rPr>
        <w:t xml:space="preserve"> </w:t>
      </w:r>
      <w:r w:rsidRPr="000319C3">
        <w:rPr>
          <w:rFonts w:cs="David"/>
          <w:i/>
          <w:iCs/>
          <w:sz w:val="24"/>
          <w:szCs w:val="24"/>
          <w:rtl/>
        </w:rPr>
        <w:t>על טבעה של האמנות</w:t>
      </w:r>
      <w:r w:rsidR="00A12FF4" w:rsidRPr="000319C3">
        <w:rPr>
          <w:rFonts w:cs="David"/>
          <w:sz w:val="24"/>
          <w:szCs w:val="24"/>
          <w:rtl/>
        </w:rPr>
        <w:t xml:space="preserve">, </w:t>
      </w:r>
      <w:r w:rsidRPr="000319C3">
        <w:rPr>
          <w:rFonts w:cs="David"/>
          <w:sz w:val="24"/>
          <w:szCs w:val="24"/>
          <w:rtl/>
        </w:rPr>
        <w:t>תל אביב</w:t>
      </w:r>
      <w:r w:rsidR="00A12FF4" w:rsidRPr="000319C3">
        <w:rPr>
          <w:rFonts w:cs="David" w:hint="cs"/>
          <w:sz w:val="24"/>
          <w:szCs w:val="24"/>
          <w:rtl/>
        </w:rPr>
        <w:t>: דביר, 1991.</w:t>
      </w:r>
      <w:r w:rsidRPr="000319C3">
        <w:rPr>
          <w:rFonts w:cs="David"/>
          <w:sz w:val="24"/>
          <w:szCs w:val="24"/>
          <w:rtl/>
        </w:rPr>
        <w:t xml:space="preserve"> עמ' 161-138. </w:t>
      </w:r>
    </w:p>
    <w:p w:rsidR="00800AAC" w:rsidRPr="000319C3" w:rsidRDefault="00800AAC" w:rsidP="00A12FF4">
      <w:pPr>
        <w:jc w:val="both"/>
        <w:rPr>
          <w:rFonts w:cs="David"/>
          <w:sz w:val="24"/>
          <w:szCs w:val="24"/>
          <w:rtl/>
        </w:rPr>
      </w:pPr>
      <w:r w:rsidRPr="000319C3">
        <w:rPr>
          <w:rFonts w:cs="David"/>
          <w:sz w:val="24"/>
          <w:szCs w:val="24"/>
          <w:rtl/>
        </w:rPr>
        <w:t xml:space="preserve">* </w:t>
      </w:r>
      <w:r w:rsidRPr="000319C3">
        <w:rPr>
          <w:rFonts w:cs="David" w:hint="cs"/>
          <w:sz w:val="24"/>
          <w:szCs w:val="24"/>
          <w:rtl/>
        </w:rPr>
        <w:t>אדרת</w:t>
      </w:r>
      <w:r w:rsidR="00A12FF4" w:rsidRPr="000319C3">
        <w:rPr>
          <w:rFonts w:cs="David" w:hint="cs"/>
          <w:sz w:val="24"/>
          <w:szCs w:val="24"/>
          <w:rtl/>
        </w:rPr>
        <w:t>,</w:t>
      </w:r>
      <w:r w:rsidRPr="000319C3">
        <w:rPr>
          <w:rFonts w:cs="David" w:hint="cs"/>
          <w:sz w:val="24"/>
          <w:szCs w:val="24"/>
          <w:rtl/>
        </w:rPr>
        <w:t xml:space="preserve"> עופר, </w:t>
      </w:r>
      <w:r w:rsidR="00A12FF4" w:rsidRPr="000319C3">
        <w:rPr>
          <w:rFonts w:cs="David" w:hint="cs"/>
          <w:sz w:val="24"/>
          <w:szCs w:val="24"/>
          <w:rtl/>
        </w:rPr>
        <w:t>"</w:t>
      </w:r>
      <w:r w:rsidRPr="000319C3">
        <w:rPr>
          <w:rFonts w:cs="David" w:hint="cs"/>
          <w:sz w:val="24"/>
          <w:szCs w:val="24"/>
          <w:rtl/>
        </w:rPr>
        <w:t>הבית המצויר של עפיה זכריה בשלומי הוא יצירת אמנות עם סיפור קורע לב</w:t>
      </w:r>
      <w:r w:rsidR="00A12FF4" w:rsidRPr="000319C3">
        <w:rPr>
          <w:rFonts w:cs="David" w:hint="cs"/>
          <w:sz w:val="24"/>
          <w:szCs w:val="24"/>
          <w:rtl/>
        </w:rPr>
        <w:t>"</w:t>
      </w:r>
      <w:r w:rsidRPr="000319C3">
        <w:rPr>
          <w:rFonts w:cs="David" w:hint="cs"/>
          <w:sz w:val="24"/>
          <w:szCs w:val="24"/>
          <w:rtl/>
        </w:rPr>
        <w:t xml:space="preserve">,  </w:t>
      </w:r>
      <w:r w:rsidRPr="000319C3">
        <w:rPr>
          <w:rFonts w:cs="David" w:hint="cs"/>
          <w:i/>
          <w:iCs/>
          <w:sz w:val="24"/>
          <w:szCs w:val="24"/>
          <w:rtl/>
        </w:rPr>
        <w:t>הארץ</w:t>
      </w:r>
      <w:r w:rsidRPr="000319C3">
        <w:rPr>
          <w:rFonts w:cs="David" w:hint="cs"/>
          <w:sz w:val="24"/>
          <w:szCs w:val="24"/>
          <w:rtl/>
        </w:rPr>
        <w:t xml:space="preserve">, </w:t>
      </w:r>
      <w:r w:rsidR="00A12FF4" w:rsidRPr="000319C3">
        <w:rPr>
          <w:rFonts w:cs="David" w:hint="cs"/>
          <w:sz w:val="24"/>
          <w:szCs w:val="24"/>
          <w:rtl/>
        </w:rPr>
        <w:t xml:space="preserve">(19.7.17). </w:t>
      </w:r>
      <w:r w:rsidRPr="000319C3">
        <w:rPr>
          <w:rFonts w:cs="David" w:hint="cs"/>
          <w:sz w:val="24"/>
          <w:szCs w:val="24"/>
          <w:rtl/>
        </w:rPr>
        <w:t>עמ' 18-1.</w:t>
      </w:r>
    </w:p>
    <w:p w:rsidR="00800AAC" w:rsidRPr="000319C3" w:rsidRDefault="00800AAC" w:rsidP="00800AAC">
      <w:pPr>
        <w:jc w:val="both"/>
        <w:rPr>
          <w:rFonts w:cs="David"/>
          <w:sz w:val="24"/>
          <w:szCs w:val="24"/>
          <w:rtl/>
        </w:rPr>
      </w:pPr>
      <w:r w:rsidRPr="000319C3">
        <w:rPr>
          <w:rFonts w:cs="David"/>
          <w:sz w:val="24"/>
          <w:szCs w:val="24"/>
          <w:rtl/>
        </w:rPr>
        <w:t>* הררי</w:t>
      </w:r>
      <w:r w:rsidR="00A12FF4" w:rsidRPr="000319C3">
        <w:rPr>
          <w:rFonts w:cs="David" w:hint="cs"/>
          <w:sz w:val="24"/>
          <w:szCs w:val="24"/>
          <w:rtl/>
        </w:rPr>
        <w:t>,</w:t>
      </w:r>
      <w:r w:rsidR="00A12FF4" w:rsidRPr="000319C3">
        <w:rPr>
          <w:rFonts w:cs="David"/>
          <w:sz w:val="24"/>
          <w:szCs w:val="24"/>
          <w:rtl/>
        </w:rPr>
        <w:t xml:space="preserve"> דרור, </w:t>
      </w:r>
      <w:r w:rsidRPr="000319C3">
        <w:rPr>
          <w:rFonts w:cs="David"/>
          <w:i/>
          <w:iCs/>
          <w:sz w:val="24"/>
          <w:szCs w:val="24"/>
          <w:rtl/>
        </w:rPr>
        <w:t>מופע-העצמי ופוליטיקה</w:t>
      </w:r>
      <w:r w:rsidRPr="000319C3">
        <w:rPr>
          <w:rFonts w:cs="David"/>
          <w:sz w:val="24"/>
          <w:szCs w:val="24"/>
          <w:rtl/>
        </w:rPr>
        <w:t xml:space="preserve">, </w:t>
      </w:r>
      <w:r w:rsidRPr="000319C3">
        <w:rPr>
          <w:rFonts w:cs="David"/>
          <w:i/>
          <w:iCs/>
          <w:sz w:val="24"/>
          <w:szCs w:val="24"/>
          <w:rtl/>
        </w:rPr>
        <w:t>מופע-העצמי, פרפורמנס ארט וייצוג העצמי</w:t>
      </w:r>
      <w:r w:rsidRPr="000319C3">
        <w:rPr>
          <w:rFonts w:cs="David"/>
          <w:sz w:val="24"/>
          <w:szCs w:val="24"/>
          <w:rtl/>
        </w:rPr>
        <w:t xml:space="preserve">, </w:t>
      </w:r>
      <w:r w:rsidR="00A12FF4" w:rsidRPr="000319C3">
        <w:rPr>
          <w:rFonts w:cs="David" w:hint="cs"/>
          <w:sz w:val="24"/>
          <w:szCs w:val="24"/>
          <w:rtl/>
        </w:rPr>
        <w:t xml:space="preserve">תל אביב: </w:t>
      </w:r>
      <w:r w:rsidR="00A12FF4" w:rsidRPr="000319C3">
        <w:rPr>
          <w:rFonts w:cs="David"/>
          <w:sz w:val="24"/>
          <w:szCs w:val="24"/>
          <w:rtl/>
        </w:rPr>
        <w:t>רסלינג</w:t>
      </w:r>
      <w:r w:rsidRPr="000319C3">
        <w:rPr>
          <w:rFonts w:cs="David"/>
          <w:sz w:val="24"/>
          <w:szCs w:val="24"/>
          <w:rtl/>
        </w:rPr>
        <w:t>,</w:t>
      </w:r>
      <w:r w:rsidR="00A12FF4" w:rsidRPr="000319C3">
        <w:rPr>
          <w:rFonts w:cs="David" w:hint="cs"/>
          <w:sz w:val="24"/>
          <w:szCs w:val="24"/>
          <w:rtl/>
        </w:rPr>
        <w:t xml:space="preserve"> 2014.</w:t>
      </w:r>
      <w:r w:rsidRPr="000319C3">
        <w:rPr>
          <w:rFonts w:cs="David"/>
          <w:sz w:val="24"/>
          <w:szCs w:val="24"/>
          <w:rtl/>
        </w:rPr>
        <w:t xml:space="preserve"> עמ' 239-209.</w:t>
      </w:r>
    </w:p>
    <w:p w:rsidR="00800AAC" w:rsidRPr="00800AAC" w:rsidRDefault="00800AAC" w:rsidP="00615331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319C3">
        <w:rPr>
          <w:rFonts w:asciiTheme="majorBidi" w:hAnsiTheme="majorBidi" w:cstheme="majorBidi"/>
          <w:sz w:val="24"/>
          <w:szCs w:val="24"/>
        </w:rPr>
        <w:t xml:space="preserve">* </w:t>
      </w:r>
      <w:hyperlink r:id="rId10" w:tooltip="search for all books by Kylie Message" w:history="1">
        <w:r w:rsidRPr="000319C3">
          <w:rPr>
            <w:rStyle w:val="Hyperlink"/>
            <w:rFonts w:asciiTheme="majorBidi" w:hAnsiTheme="majorBidi" w:cstheme="majorBidi"/>
            <w:color w:val="111111"/>
            <w:sz w:val="24"/>
            <w:szCs w:val="24"/>
            <w:u w:val="none"/>
            <w:shd w:val="clear" w:color="auto" w:fill="FFFFFF"/>
          </w:rPr>
          <w:t>Message</w:t>
        </w:r>
      </w:hyperlink>
      <w:r w:rsidR="00615331" w:rsidRPr="000319C3">
        <w:rPr>
          <w:rStyle w:val="Hyperlink"/>
          <w:rFonts w:asciiTheme="majorBidi" w:hAnsiTheme="majorBidi" w:cstheme="majorBidi"/>
          <w:color w:val="111111"/>
          <w:sz w:val="24"/>
          <w:szCs w:val="24"/>
          <w:u w:val="none"/>
          <w:shd w:val="clear" w:color="auto" w:fill="FFFFFF"/>
        </w:rPr>
        <w:t>,</w:t>
      </w:r>
      <w:r w:rsidRPr="000319C3">
        <w:rPr>
          <w:rFonts w:asciiTheme="majorBidi" w:hAnsiTheme="majorBidi" w:cstheme="majorBidi"/>
          <w:sz w:val="24"/>
          <w:szCs w:val="24"/>
        </w:rPr>
        <w:t xml:space="preserve"> Kylie, </w:t>
      </w:r>
      <w:r w:rsidRPr="000319C3">
        <w:rPr>
          <w:rFonts w:asciiTheme="majorBidi" w:hAnsiTheme="majorBidi" w:cstheme="majorBidi"/>
          <w:i/>
          <w:iCs/>
          <w:sz w:val="24"/>
          <w:szCs w:val="24"/>
        </w:rPr>
        <w:t>Museums and Social Activism</w:t>
      </w:r>
      <w:r w:rsidR="00615331" w:rsidRPr="000319C3">
        <w:rPr>
          <w:rFonts w:asciiTheme="majorBidi" w:hAnsiTheme="majorBidi" w:cstheme="majorBidi"/>
          <w:sz w:val="24"/>
          <w:szCs w:val="24"/>
        </w:rPr>
        <w:t>,</w:t>
      </w:r>
      <w:r w:rsidRPr="000319C3">
        <w:rPr>
          <w:rFonts w:asciiTheme="majorBidi" w:hAnsiTheme="majorBidi" w:cstheme="majorBidi"/>
          <w:sz w:val="24"/>
          <w:szCs w:val="24"/>
        </w:rPr>
        <w:t xml:space="preserve"> </w:t>
      </w:r>
      <w:r w:rsidR="00615331" w:rsidRPr="000319C3">
        <w:rPr>
          <w:rFonts w:asciiTheme="majorBidi" w:hAnsiTheme="majorBidi" w:cstheme="majorBidi"/>
          <w:sz w:val="24"/>
          <w:szCs w:val="24"/>
        </w:rPr>
        <w:t xml:space="preserve">London: </w:t>
      </w:r>
      <w:r w:rsidRPr="000319C3">
        <w:rPr>
          <w:rFonts w:asciiTheme="majorBidi" w:hAnsiTheme="majorBidi" w:cstheme="majorBidi"/>
          <w:sz w:val="24"/>
          <w:szCs w:val="24"/>
        </w:rPr>
        <w:t>Routledge</w:t>
      </w:r>
      <w:r w:rsidR="00615331" w:rsidRPr="000319C3">
        <w:rPr>
          <w:rFonts w:asciiTheme="majorBidi" w:hAnsiTheme="majorBidi" w:cstheme="majorBidi"/>
          <w:sz w:val="24"/>
          <w:szCs w:val="24"/>
        </w:rPr>
        <w:t>, 2014</w:t>
      </w:r>
      <w:r w:rsidRPr="000319C3">
        <w:rPr>
          <w:rFonts w:asciiTheme="majorBidi" w:hAnsiTheme="majorBidi" w:cstheme="majorBidi"/>
          <w:sz w:val="24"/>
          <w:szCs w:val="24"/>
        </w:rPr>
        <w:t>.</w:t>
      </w:r>
      <w:r w:rsidR="00615331" w:rsidRPr="000319C3">
        <w:rPr>
          <w:rFonts w:asciiTheme="majorBidi" w:hAnsiTheme="majorBidi" w:cstheme="majorBidi"/>
          <w:sz w:val="24"/>
          <w:szCs w:val="24"/>
        </w:rPr>
        <w:t xml:space="preserve"> (Selected chapters</w:t>
      </w:r>
      <w:r w:rsidRPr="000319C3">
        <w:rPr>
          <w:rFonts w:asciiTheme="majorBidi" w:hAnsiTheme="majorBidi" w:cstheme="majorBidi"/>
          <w:sz w:val="24"/>
          <w:szCs w:val="24"/>
        </w:rPr>
        <w:t>)</w:t>
      </w:r>
      <w:r w:rsidR="00615331" w:rsidRPr="000319C3">
        <w:rPr>
          <w:rFonts w:asciiTheme="majorBidi" w:hAnsiTheme="majorBidi" w:cstheme="majorBidi"/>
          <w:sz w:val="24"/>
          <w:szCs w:val="24"/>
        </w:rPr>
        <w:t>.</w:t>
      </w:r>
    </w:p>
    <w:p w:rsidR="00800AAC" w:rsidRDefault="00800AAC" w:rsidP="008D4E6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0319C3">
        <w:rPr>
          <w:rFonts w:asciiTheme="majorBidi" w:hAnsiTheme="majorBidi" w:cstheme="majorBidi"/>
          <w:sz w:val="24"/>
          <w:szCs w:val="24"/>
        </w:rPr>
        <w:t>* Irmgard</w:t>
      </w:r>
      <w:r w:rsidR="00615331" w:rsidRPr="000319C3">
        <w:rPr>
          <w:rFonts w:asciiTheme="majorBidi" w:hAnsiTheme="majorBidi" w:cstheme="majorBidi"/>
          <w:sz w:val="24"/>
          <w:szCs w:val="24"/>
        </w:rPr>
        <w:t>, Emmelhainz,</w:t>
      </w:r>
      <w:r w:rsidRPr="000319C3">
        <w:rPr>
          <w:rFonts w:asciiTheme="majorBidi" w:hAnsiTheme="majorBidi" w:cstheme="majorBidi"/>
          <w:sz w:val="24"/>
          <w:szCs w:val="24"/>
        </w:rPr>
        <w:t xml:space="preserve"> </w:t>
      </w:r>
      <w:r w:rsidR="00615331" w:rsidRPr="000319C3">
        <w:rPr>
          <w:rFonts w:asciiTheme="majorBidi" w:hAnsiTheme="majorBidi" w:cstheme="majorBidi"/>
          <w:sz w:val="24"/>
          <w:szCs w:val="24"/>
        </w:rPr>
        <w:t>"</w:t>
      </w:r>
      <w:r w:rsidRPr="000319C3">
        <w:rPr>
          <w:rFonts w:asciiTheme="majorBidi" w:hAnsiTheme="majorBidi" w:cstheme="majorBidi"/>
          <w:sz w:val="24"/>
          <w:szCs w:val="24"/>
        </w:rPr>
        <w:t xml:space="preserve">Art and </w:t>
      </w:r>
      <w:r w:rsidR="00615331" w:rsidRPr="000319C3">
        <w:rPr>
          <w:rFonts w:asciiTheme="majorBidi" w:hAnsiTheme="majorBidi" w:cstheme="majorBidi"/>
          <w:sz w:val="24"/>
          <w:szCs w:val="24"/>
        </w:rPr>
        <w:t>the Cultural Turn: Farewell to Committed, Autonomous A</w:t>
      </w:r>
      <w:r w:rsidRPr="000319C3">
        <w:rPr>
          <w:rFonts w:asciiTheme="majorBidi" w:hAnsiTheme="majorBidi" w:cstheme="majorBidi"/>
          <w:sz w:val="24"/>
          <w:szCs w:val="24"/>
        </w:rPr>
        <w:t>rt?</w:t>
      </w:r>
      <w:r w:rsidR="00615331" w:rsidRPr="000319C3">
        <w:rPr>
          <w:rFonts w:asciiTheme="majorBidi" w:hAnsiTheme="majorBidi" w:cstheme="majorBidi"/>
          <w:sz w:val="24"/>
          <w:szCs w:val="24"/>
        </w:rPr>
        <w:t>",</w:t>
      </w:r>
      <w:r w:rsidRPr="000319C3">
        <w:rPr>
          <w:rFonts w:asciiTheme="majorBidi" w:hAnsiTheme="majorBidi" w:cstheme="majorBidi"/>
          <w:sz w:val="24"/>
          <w:szCs w:val="24"/>
        </w:rPr>
        <w:t xml:space="preserve"> </w:t>
      </w:r>
      <w:r w:rsidR="00615331" w:rsidRPr="000319C3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0319C3">
        <w:rPr>
          <w:rFonts w:asciiTheme="majorBidi" w:hAnsiTheme="majorBidi" w:cstheme="majorBidi"/>
          <w:i/>
          <w:iCs/>
          <w:sz w:val="24"/>
          <w:szCs w:val="24"/>
        </w:rPr>
        <w:t>-flux</w:t>
      </w:r>
      <w:r w:rsidRPr="000319C3">
        <w:rPr>
          <w:rFonts w:asciiTheme="majorBidi" w:hAnsiTheme="majorBidi" w:cstheme="majorBidi"/>
          <w:sz w:val="24"/>
          <w:szCs w:val="24"/>
        </w:rPr>
        <w:t xml:space="preserve">, </w:t>
      </w:r>
      <w:r w:rsidR="00615331" w:rsidRPr="000319C3">
        <w:rPr>
          <w:rFonts w:asciiTheme="majorBidi" w:hAnsiTheme="majorBidi" w:cstheme="majorBidi"/>
          <w:sz w:val="24"/>
          <w:szCs w:val="24"/>
        </w:rPr>
        <w:t xml:space="preserve">Vol. </w:t>
      </w:r>
      <w:r w:rsidRPr="000319C3">
        <w:rPr>
          <w:rFonts w:asciiTheme="majorBidi" w:hAnsiTheme="majorBidi" w:cstheme="majorBidi"/>
          <w:sz w:val="24"/>
          <w:szCs w:val="24"/>
        </w:rPr>
        <w:t>42</w:t>
      </w:r>
      <w:r w:rsidR="00615331" w:rsidRPr="000319C3">
        <w:rPr>
          <w:rFonts w:asciiTheme="majorBidi" w:hAnsiTheme="majorBidi" w:cstheme="majorBidi"/>
          <w:sz w:val="24"/>
          <w:szCs w:val="24"/>
        </w:rPr>
        <w:t xml:space="preserve"> (2013).</w:t>
      </w:r>
      <w:r w:rsidR="008D4E6D">
        <w:rPr>
          <w:rFonts w:asciiTheme="majorBidi" w:hAnsiTheme="majorBidi" w:cstheme="majorBidi"/>
          <w:sz w:val="24"/>
          <w:szCs w:val="24"/>
        </w:rPr>
        <w:t xml:space="preserve"> </w:t>
      </w:r>
      <w:r w:rsidR="008D4E6D" w:rsidRPr="008D4E6D">
        <w:rPr>
          <w:rFonts w:ascii="David" w:hAnsi="David" w:cs="David"/>
          <w:sz w:val="24"/>
          <w:szCs w:val="24"/>
        </w:rPr>
        <w:t>Retrieved June 1 201</w:t>
      </w:r>
      <w:r w:rsidR="008D4E6D">
        <w:rPr>
          <w:rFonts w:ascii="David" w:hAnsi="David" w:cs="David"/>
          <w:sz w:val="24"/>
          <w:szCs w:val="24"/>
        </w:rPr>
        <w:t>7</w:t>
      </w:r>
      <w:r w:rsidR="008D4E6D" w:rsidRPr="008D4E6D">
        <w:rPr>
          <w:rFonts w:ascii="David" w:hAnsi="David" w:cs="David"/>
          <w:sz w:val="24"/>
          <w:szCs w:val="24"/>
        </w:rPr>
        <w:t xml:space="preserve"> from</w:t>
      </w:r>
    </w:p>
    <w:p w:rsidR="008D4E6D" w:rsidRDefault="00726441" w:rsidP="008D4E6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hyperlink r:id="rId11" w:history="1">
        <w:r w:rsidR="008D4E6D" w:rsidRPr="007C7980">
          <w:rPr>
            <w:rStyle w:val="Hyperlink"/>
            <w:rFonts w:asciiTheme="majorBidi" w:hAnsiTheme="majorBidi" w:cstheme="majorBidi"/>
            <w:sz w:val="24"/>
            <w:szCs w:val="24"/>
          </w:rPr>
          <w:t>http://www.e-flux.com/journal/42/60266/art-and-the-cultural-turn-farewell-to-committed-autonomous-art/</w:t>
        </w:r>
      </w:hyperlink>
    </w:p>
    <w:p w:rsidR="008D4E6D" w:rsidRPr="00800AAC" w:rsidRDefault="008D4E6D" w:rsidP="008D4E6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963431" w:rsidRPr="00800AAC" w:rsidRDefault="00963431" w:rsidP="00800AAC">
      <w:pPr>
        <w:bidi w:val="0"/>
        <w:spacing w:after="0" w:line="360" w:lineRule="auto"/>
        <w:jc w:val="both"/>
        <w:rPr>
          <w:rFonts w:ascii="David" w:hAnsi="David" w:cs="David"/>
          <w:sz w:val="24"/>
          <w:szCs w:val="24"/>
          <w:u w:val="single"/>
        </w:rPr>
      </w:pPr>
    </w:p>
    <w:sectPr w:rsidR="00963431" w:rsidRPr="00800AAC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77F67"/>
    <w:multiLevelType w:val="hybridMultilevel"/>
    <w:tmpl w:val="43FEB6FA"/>
    <w:lvl w:ilvl="0" w:tplc="857C79C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6620"/>
    <w:multiLevelType w:val="hybridMultilevel"/>
    <w:tmpl w:val="04B4D42E"/>
    <w:lvl w:ilvl="0" w:tplc="92FC316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645E"/>
    <w:multiLevelType w:val="hybridMultilevel"/>
    <w:tmpl w:val="26607C70"/>
    <w:lvl w:ilvl="0" w:tplc="171E5E3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0EF3"/>
    <w:multiLevelType w:val="hybridMultilevel"/>
    <w:tmpl w:val="841A5CDC"/>
    <w:lvl w:ilvl="0" w:tplc="7708C90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13CB2"/>
    <w:multiLevelType w:val="hybridMultilevel"/>
    <w:tmpl w:val="EF80A05E"/>
    <w:lvl w:ilvl="0" w:tplc="BDD8AD9C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319C3"/>
    <w:rsid w:val="000926E4"/>
    <w:rsid w:val="001231DF"/>
    <w:rsid w:val="001628BA"/>
    <w:rsid w:val="00196B1D"/>
    <w:rsid w:val="00215D18"/>
    <w:rsid w:val="00247A3B"/>
    <w:rsid w:val="00253B71"/>
    <w:rsid w:val="002E6540"/>
    <w:rsid w:val="002E79CB"/>
    <w:rsid w:val="00302B91"/>
    <w:rsid w:val="00326EE0"/>
    <w:rsid w:val="00356436"/>
    <w:rsid w:val="003834A1"/>
    <w:rsid w:val="003B40A9"/>
    <w:rsid w:val="003C7742"/>
    <w:rsid w:val="003D6534"/>
    <w:rsid w:val="003F439C"/>
    <w:rsid w:val="0045545D"/>
    <w:rsid w:val="004D5E50"/>
    <w:rsid w:val="00512344"/>
    <w:rsid w:val="005324E4"/>
    <w:rsid w:val="00564489"/>
    <w:rsid w:val="00586494"/>
    <w:rsid w:val="005F1EEF"/>
    <w:rsid w:val="00611AB6"/>
    <w:rsid w:val="00615331"/>
    <w:rsid w:val="00643CEF"/>
    <w:rsid w:val="006441D6"/>
    <w:rsid w:val="00697E95"/>
    <w:rsid w:val="006B54ED"/>
    <w:rsid w:val="006F673B"/>
    <w:rsid w:val="00726441"/>
    <w:rsid w:val="0078719E"/>
    <w:rsid w:val="007B59B2"/>
    <w:rsid w:val="007F0F6C"/>
    <w:rsid w:val="00800AAC"/>
    <w:rsid w:val="0085093F"/>
    <w:rsid w:val="00854A68"/>
    <w:rsid w:val="00890E81"/>
    <w:rsid w:val="008C7DF5"/>
    <w:rsid w:val="008D37CF"/>
    <w:rsid w:val="008D4E6D"/>
    <w:rsid w:val="00937A72"/>
    <w:rsid w:val="00963431"/>
    <w:rsid w:val="00963BC0"/>
    <w:rsid w:val="009A5765"/>
    <w:rsid w:val="00A12FF4"/>
    <w:rsid w:val="00A17F38"/>
    <w:rsid w:val="00A376FC"/>
    <w:rsid w:val="00A6150C"/>
    <w:rsid w:val="00A62173"/>
    <w:rsid w:val="00B46425"/>
    <w:rsid w:val="00B67896"/>
    <w:rsid w:val="00C048FC"/>
    <w:rsid w:val="00D059A1"/>
    <w:rsid w:val="00D41440"/>
    <w:rsid w:val="00E31BB2"/>
    <w:rsid w:val="00E543AC"/>
    <w:rsid w:val="00F42011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800AAC"/>
    <w:pPr>
      <w:keepNext/>
      <w:spacing w:after="0" w:line="360" w:lineRule="auto"/>
      <w:outlineLvl w:val="0"/>
    </w:pPr>
    <w:rPr>
      <w:rFonts w:ascii="Times New Roman" w:eastAsia="Times New Roman" w:hAnsi="Times New Roman" w:cs="Miriam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10">
    <w:name w:val="כותרת 1 תו"/>
    <w:basedOn w:val="a0"/>
    <w:link w:val="1"/>
    <w:rsid w:val="00800AAC"/>
    <w:rPr>
      <w:rFonts w:ascii="Times New Roman" w:eastAsia="Times New Roman" w:hAnsi="Times New Roman" w:cs="Miriam"/>
      <w:sz w:val="20"/>
      <w:szCs w:val="24"/>
    </w:rPr>
  </w:style>
  <w:style w:type="character" w:styleId="Hyperlink">
    <w:name w:val="Hyperlink"/>
    <w:basedOn w:val="a0"/>
    <w:uiPriority w:val="99"/>
    <w:unhideWhenUsed/>
    <w:rsid w:val="0080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800AAC"/>
    <w:pPr>
      <w:keepNext/>
      <w:spacing w:after="0" w:line="360" w:lineRule="auto"/>
      <w:outlineLvl w:val="0"/>
    </w:pPr>
    <w:rPr>
      <w:rFonts w:ascii="Times New Roman" w:eastAsia="Times New Roman" w:hAnsi="Times New Roman" w:cs="Miriam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customStyle="1" w:styleId="10">
    <w:name w:val="כותרת 1 תו"/>
    <w:basedOn w:val="a0"/>
    <w:link w:val="1"/>
    <w:rsid w:val="00800AAC"/>
    <w:rPr>
      <w:rFonts w:ascii="Times New Roman" w:eastAsia="Times New Roman" w:hAnsi="Times New Roman" w:cs="Miriam"/>
      <w:sz w:val="20"/>
      <w:szCs w:val="24"/>
    </w:rPr>
  </w:style>
  <w:style w:type="character" w:styleId="Hyperlink">
    <w:name w:val="Hyperlink"/>
    <w:basedOn w:val="a0"/>
    <w:uiPriority w:val="99"/>
    <w:unhideWhenUsed/>
    <w:rsid w:val="00800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janejacob.org/sub_pages/exhibitions/exh_in_public_sites/conversations_castle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ournal.bezalel.ac.il/he/article/36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yama@mli.org.il" TargetMode="External"/><Relationship Id="rId11" Type="http://schemas.openxmlformats.org/officeDocument/2006/relationships/hyperlink" Target="http://www.e-flux.com/journal/42/60266/art-and-the-cultural-turn-farewell-to-committed-autonomous-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utledge.com/products/search?author=Kylie%20Mess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tion-danse.ch/fileadmin/dokumente/Vermittlung_ressources/Matarasso_Use_or_Ornament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6025</Characters>
  <Application>Microsoft Office Word</Application>
  <DocSecurity>4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מירב אפרה</cp:lastModifiedBy>
  <cp:revision>2</cp:revision>
  <dcterms:created xsi:type="dcterms:W3CDTF">2018-03-28T07:37:00Z</dcterms:created>
  <dcterms:modified xsi:type="dcterms:W3CDTF">2018-03-28T07:37:00Z</dcterms:modified>
</cp:coreProperties>
</file>