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57" w:rsidRPr="003D1BE3" w:rsidRDefault="00963431" w:rsidP="00854BAB">
      <w:pPr>
        <w:shd w:val="clear" w:color="auto" w:fill="FFFFFF"/>
        <w:spacing w:after="0" w:line="240" w:lineRule="auto"/>
        <w:jc w:val="both"/>
        <w:rPr>
          <w:rFonts w:asciiTheme="minorBidi" w:hAnsiTheme="minorBidi"/>
          <w:b/>
          <w:bCs/>
          <w:color w:val="000000"/>
          <w:rtl/>
        </w:rPr>
      </w:pPr>
      <w:bookmarkStart w:id="0" w:name="_GoBack"/>
      <w:bookmarkEnd w:id="0"/>
      <w:r w:rsidRPr="003D1BE3">
        <w:rPr>
          <w:rFonts w:asciiTheme="minorBidi" w:hAnsiTheme="minorBidi"/>
          <w:b/>
          <w:bCs/>
          <w:u w:val="single"/>
          <w:rtl/>
        </w:rPr>
        <w:t xml:space="preserve">שם </w:t>
      </w:r>
      <w:r w:rsidR="00B713C0" w:rsidRPr="003D1BE3">
        <w:rPr>
          <w:rFonts w:asciiTheme="minorBidi" w:hAnsiTheme="minorBidi"/>
          <w:b/>
          <w:bCs/>
          <w:u w:val="single"/>
          <w:rtl/>
        </w:rPr>
        <w:t>הקורס</w:t>
      </w:r>
      <w:r w:rsidRPr="003D1BE3">
        <w:rPr>
          <w:rFonts w:asciiTheme="minorBidi" w:hAnsiTheme="minorBidi"/>
          <w:b/>
          <w:bCs/>
          <w:u w:val="single"/>
          <w:rtl/>
        </w:rPr>
        <w:t xml:space="preserve">: </w:t>
      </w:r>
      <w:r w:rsidR="006360BD" w:rsidRPr="003D1BE3">
        <w:rPr>
          <w:rFonts w:asciiTheme="minorBidi" w:hAnsiTheme="minorBidi"/>
          <w:b/>
          <w:bCs/>
          <w:u w:val="single"/>
          <w:rtl/>
        </w:rPr>
        <w:t xml:space="preserve"> </w:t>
      </w:r>
      <w:r w:rsidR="001F2157" w:rsidRPr="003D1BE3">
        <w:rPr>
          <w:rFonts w:asciiTheme="minorBidi" w:hAnsiTheme="minorBidi"/>
          <w:b/>
          <w:bCs/>
          <w:color w:val="000000"/>
          <w:rtl/>
        </w:rPr>
        <w:t>פסיכואנליזה והחזותי</w:t>
      </w:r>
    </w:p>
    <w:p w:rsidR="001C6702" w:rsidRPr="003D1BE3" w:rsidRDefault="001F2157" w:rsidP="00854BAB">
      <w:pPr>
        <w:shd w:val="clear" w:color="auto" w:fill="FFFFFF"/>
        <w:spacing w:after="0" w:line="240" w:lineRule="auto"/>
        <w:jc w:val="both"/>
        <w:rPr>
          <w:rFonts w:asciiTheme="minorBidi" w:hAnsiTheme="minorBidi"/>
          <w:b/>
          <w:bCs/>
          <w:color w:val="000000"/>
          <w:rtl/>
        </w:rPr>
      </w:pPr>
      <w:r w:rsidRPr="003D1BE3">
        <w:rPr>
          <w:rFonts w:asciiTheme="minorBidi" w:hAnsiTheme="minorBidi"/>
          <w:b/>
          <w:bCs/>
          <w:color w:val="000000"/>
        </w:rPr>
        <w:t>Psychoanalysis and the Visual</w:t>
      </w:r>
      <w:r w:rsidR="007954AB" w:rsidRPr="003D1BE3">
        <w:rPr>
          <w:rFonts w:asciiTheme="minorBidi" w:hAnsiTheme="minorBidi"/>
          <w:b/>
          <w:bCs/>
          <w:color w:val="000000"/>
          <w:rtl/>
        </w:rPr>
        <w:t xml:space="preserve"> </w:t>
      </w:r>
      <w:r w:rsidR="00B4122A" w:rsidRPr="003D1BE3">
        <w:rPr>
          <w:rFonts w:asciiTheme="minorBidi" w:hAnsiTheme="minorBidi"/>
          <w:b/>
          <w:bCs/>
          <w:color w:val="000000"/>
          <w:rtl/>
        </w:rPr>
        <w:t xml:space="preserve"> </w:t>
      </w:r>
    </w:p>
    <w:p w:rsidR="0009410A" w:rsidRPr="00BC3F84" w:rsidRDefault="006F239E" w:rsidP="00854BAB">
      <w:pPr>
        <w:shd w:val="clear" w:color="auto" w:fill="FFFFFF"/>
        <w:spacing w:after="0" w:line="240" w:lineRule="auto"/>
        <w:jc w:val="both"/>
        <w:rPr>
          <w:rFonts w:asciiTheme="minorBidi" w:hAnsiTheme="minorBidi"/>
          <w:b/>
          <w:bCs/>
          <w:rtl/>
        </w:rPr>
      </w:pPr>
      <w:r w:rsidRPr="00BC3F84">
        <w:rPr>
          <w:rFonts w:asciiTheme="minorBidi" w:hAnsiTheme="minorBidi"/>
          <w:b/>
          <w:bCs/>
          <w:rtl/>
        </w:rPr>
        <w:t xml:space="preserve">המחלקה להיסטוריה ותיאוריה, בצלאל, 2019 </w:t>
      </w:r>
    </w:p>
    <w:p w:rsidR="006F239E" w:rsidRPr="003D1BE3" w:rsidRDefault="006F239E" w:rsidP="00854BAB">
      <w:pPr>
        <w:shd w:val="clear" w:color="auto" w:fill="FFFFFF"/>
        <w:spacing w:after="0" w:line="240" w:lineRule="auto"/>
        <w:jc w:val="both"/>
        <w:rPr>
          <w:rFonts w:asciiTheme="minorBidi" w:hAnsiTheme="minorBidi"/>
          <w:b/>
          <w:bCs/>
          <w:u w:val="single"/>
          <w:rtl/>
        </w:rPr>
      </w:pPr>
    </w:p>
    <w:p w:rsidR="00963431" w:rsidRPr="003D1BE3" w:rsidRDefault="00963431" w:rsidP="00854BAB">
      <w:pPr>
        <w:shd w:val="clear" w:color="auto" w:fill="FFFFFF"/>
        <w:spacing w:after="0" w:line="240" w:lineRule="auto"/>
        <w:jc w:val="both"/>
        <w:rPr>
          <w:rFonts w:asciiTheme="minorBidi" w:hAnsiTheme="minorBidi"/>
          <w:rtl/>
        </w:rPr>
      </w:pPr>
      <w:r w:rsidRPr="003D1BE3">
        <w:rPr>
          <w:rFonts w:asciiTheme="minorBidi" w:hAnsiTheme="minorBidi"/>
          <w:b/>
          <w:bCs/>
          <w:u w:val="single"/>
          <w:rtl/>
        </w:rPr>
        <w:t xml:space="preserve">שם המרצה: </w:t>
      </w:r>
      <w:r w:rsidR="00CB5459" w:rsidRPr="003D1BE3">
        <w:rPr>
          <w:rFonts w:asciiTheme="minorBidi" w:hAnsiTheme="minorBidi"/>
          <w:rtl/>
        </w:rPr>
        <w:t xml:space="preserve">ד"ר יצחק בנימיני </w:t>
      </w:r>
    </w:p>
    <w:p w:rsidR="0009410A" w:rsidRPr="003D1BE3" w:rsidRDefault="0009410A" w:rsidP="00854BAB">
      <w:pPr>
        <w:spacing w:after="0" w:line="240" w:lineRule="auto"/>
        <w:jc w:val="both"/>
        <w:rPr>
          <w:rFonts w:asciiTheme="minorBidi" w:hAnsiTheme="minorBidi"/>
          <w:b/>
          <w:bCs/>
          <w:u w:val="single"/>
          <w:rtl/>
        </w:rPr>
      </w:pPr>
    </w:p>
    <w:p w:rsidR="00963431" w:rsidRPr="003D1BE3" w:rsidRDefault="00963431" w:rsidP="00854BAB">
      <w:pPr>
        <w:spacing w:after="0" w:line="240" w:lineRule="auto"/>
        <w:jc w:val="both"/>
        <w:rPr>
          <w:rFonts w:asciiTheme="minorBidi" w:hAnsiTheme="minorBidi"/>
          <w:rtl/>
        </w:rPr>
      </w:pPr>
      <w:r w:rsidRPr="003D1BE3">
        <w:rPr>
          <w:rFonts w:asciiTheme="minorBidi" w:hAnsiTheme="minorBidi"/>
          <w:b/>
          <w:bCs/>
          <w:u w:val="single"/>
          <w:rtl/>
        </w:rPr>
        <w:t xml:space="preserve">היקף הקורס: </w:t>
      </w:r>
      <w:r w:rsidR="00FE2E2F" w:rsidRPr="003D1BE3">
        <w:rPr>
          <w:rFonts w:asciiTheme="minorBidi" w:hAnsiTheme="minorBidi"/>
          <w:rtl/>
        </w:rPr>
        <w:t>2</w:t>
      </w:r>
      <w:r w:rsidR="00CB5459" w:rsidRPr="003D1BE3">
        <w:rPr>
          <w:rFonts w:asciiTheme="minorBidi" w:hAnsiTheme="minorBidi"/>
          <w:rtl/>
        </w:rPr>
        <w:t xml:space="preserve"> שעות סמסטריאליות</w:t>
      </w:r>
    </w:p>
    <w:p w:rsidR="0009410A" w:rsidRPr="003D1BE3" w:rsidRDefault="0009410A" w:rsidP="00854BAB">
      <w:pPr>
        <w:spacing w:after="0" w:line="240" w:lineRule="auto"/>
        <w:jc w:val="both"/>
        <w:rPr>
          <w:rFonts w:asciiTheme="minorBidi" w:hAnsiTheme="minorBidi"/>
          <w:b/>
          <w:bCs/>
          <w:u w:val="single"/>
          <w:rtl/>
        </w:rPr>
      </w:pPr>
    </w:p>
    <w:p w:rsidR="00963431" w:rsidRPr="003D1BE3" w:rsidRDefault="00963431" w:rsidP="00854BAB">
      <w:pPr>
        <w:spacing w:after="0" w:line="240" w:lineRule="auto"/>
        <w:jc w:val="both"/>
        <w:rPr>
          <w:rFonts w:asciiTheme="minorBidi" w:hAnsiTheme="minorBidi"/>
          <w:rtl/>
        </w:rPr>
      </w:pPr>
      <w:r w:rsidRPr="003D1BE3">
        <w:rPr>
          <w:rFonts w:asciiTheme="minorBidi" w:hAnsiTheme="minorBidi"/>
          <w:b/>
          <w:bCs/>
          <w:u w:val="single"/>
          <w:rtl/>
        </w:rPr>
        <w:t>סוג הקורס:</w:t>
      </w:r>
      <w:r w:rsidRPr="003D1BE3">
        <w:rPr>
          <w:rFonts w:asciiTheme="minorBidi" w:hAnsiTheme="minorBidi"/>
          <w:rtl/>
        </w:rPr>
        <w:t xml:space="preserve"> </w:t>
      </w:r>
      <w:r w:rsidR="00FE2E2F" w:rsidRPr="003D1BE3">
        <w:rPr>
          <w:rFonts w:asciiTheme="minorBidi" w:hAnsiTheme="minorBidi"/>
          <w:rtl/>
        </w:rPr>
        <w:t>שיעור</w:t>
      </w:r>
    </w:p>
    <w:p w:rsidR="0009410A" w:rsidRPr="003D1BE3" w:rsidRDefault="0009410A" w:rsidP="00854BAB">
      <w:pPr>
        <w:spacing w:after="0" w:line="240" w:lineRule="auto"/>
        <w:jc w:val="both"/>
        <w:rPr>
          <w:rFonts w:asciiTheme="minorBidi" w:hAnsiTheme="minorBidi"/>
          <w:b/>
          <w:bCs/>
          <w:u w:val="single"/>
          <w:rtl/>
        </w:rPr>
      </w:pPr>
    </w:p>
    <w:p w:rsidR="00963431" w:rsidRPr="003D1BE3" w:rsidRDefault="00564489" w:rsidP="00854BAB">
      <w:pPr>
        <w:spacing w:after="0" w:line="240" w:lineRule="auto"/>
        <w:jc w:val="both"/>
        <w:rPr>
          <w:rFonts w:asciiTheme="minorBidi" w:hAnsiTheme="minorBidi"/>
          <w:b/>
          <w:bCs/>
          <w:u w:val="single"/>
        </w:rPr>
      </w:pPr>
      <w:r w:rsidRPr="003D1BE3">
        <w:rPr>
          <w:rFonts w:asciiTheme="minorBidi" w:hAnsiTheme="minorBidi"/>
          <w:b/>
          <w:bCs/>
          <w:u w:val="single"/>
          <w:rtl/>
        </w:rPr>
        <w:t>תמצית הקורס ומטרותיו</w:t>
      </w:r>
      <w:r w:rsidR="00963431" w:rsidRPr="003D1BE3">
        <w:rPr>
          <w:rFonts w:asciiTheme="minorBidi" w:hAnsiTheme="minorBidi"/>
          <w:b/>
          <w:bCs/>
          <w:u w:val="single"/>
          <w:rtl/>
        </w:rPr>
        <w:t>:</w:t>
      </w:r>
      <w:r w:rsidR="00963431" w:rsidRPr="003D1BE3">
        <w:rPr>
          <w:rFonts w:asciiTheme="minorBidi" w:hAnsiTheme="minorBidi"/>
          <w:rtl/>
        </w:rPr>
        <w:t xml:space="preserve"> </w:t>
      </w:r>
    </w:p>
    <w:p w:rsidR="00847B96" w:rsidRPr="003D1BE3" w:rsidRDefault="00847B96" w:rsidP="00854BAB">
      <w:pPr>
        <w:shd w:val="clear" w:color="auto" w:fill="FFFFFF"/>
        <w:spacing w:after="0" w:line="240" w:lineRule="auto"/>
        <w:jc w:val="both"/>
        <w:rPr>
          <w:rFonts w:asciiTheme="minorBidi" w:eastAsia="Times New Roman" w:hAnsiTheme="minorBidi"/>
          <w:color w:val="000000"/>
          <w:rtl/>
        </w:rPr>
      </w:pPr>
    </w:p>
    <w:p w:rsidR="001F2157" w:rsidRPr="003D1BE3" w:rsidRDefault="001F2157" w:rsidP="001F2157">
      <w:pPr>
        <w:spacing w:line="240" w:lineRule="auto"/>
        <w:jc w:val="both"/>
        <w:rPr>
          <w:rFonts w:asciiTheme="minorBidi" w:hAnsiTheme="minorBidi"/>
        </w:rPr>
      </w:pPr>
      <w:r w:rsidRPr="003D1BE3">
        <w:rPr>
          <w:rFonts w:asciiTheme="minorBidi" w:hAnsiTheme="minorBidi"/>
          <w:rtl/>
        </w:rPr>
        <w:t>במסגרת הקורס נבחן את תפיסת החזותי בשיח הפסיכואנליטי, במיוחד אצל זיגמונד פרויד וז'אק לאקאן. נקרא את המסה הפתלתלה והנועזת של פרויד על "האלביתי" (1919) וכן מאמרים הדנים במושג הנרקיסיזם ובהתענגות הקשורה בהבטה. נבחן גם את התפיסה אודות שלב המראה אצל לאקאן המוקדם ותפיסת המבט שלו בסמינר ה-11 "ארבעת מושגי היסוד של הפסיכואנליזה".</w:t>
      </w:r>
    </w:p>
    <w:p w:rsidR="00286472" w:rsidRPr="003D1BE3" w:rsidRDefault="00286472" w:rsidP="00286472">
      <w:pPr>
        <w:bidi w:val="0"/>
        <w:spacing w:line="240" w:lineRule="auto"/>
        <w:jc w:val="both"/>
        <w:rPr>
          <w:rFonts w:asciiTheme="minorBidi" w:hAnsiTheme="minorBidi"/>
        </w:rPr>
      </w:pPr>
      <w:r w:rsidRPr="003D1BE3">
        <w:rPr>
          <w:rFonts w:asciiTheme="minorBidi" w:hAnsiTheme="minorBidi"/>
        </w:rPr>
        <w:t>During our course we will r</w:t>
      </w:r>
      <w:r w:rsidR="001C4EF2" w:rsidRPr="003D1BE3">
        <w:rPr>
          <w:rFonts w:asciiTheme="minorBidi" w:hAnsiTheme="minorBidi"/>
        </w:rPr>
        <w:t>ea</w:t>
      </w:r>
      <w:r w:rsidR="00DA0DF7" w:rsidRPr="003D1BE3">
        <w:rPr>
          <w:rFonts w:asciiTheme="minorBidi" w:hAnsiTheme="minorBidi"/>
        </w:rPr>
        <w:t>d</w:t>
      </w:r>
      <w:r w:rsidR="001C4EF2" w:rsidRPr="003D1BE3">
        <w:rPr>
          <w:rFonts w:asciiTheme="minorBidi" w:hAnsiTheme="minorBidi"/>
        </w:rPr>
        <w:t xml:space="preserve"> text by the psychoanalysts Sigmund Freud and </w:t>
      </w:r>
      <w:r w:rsidR="00DA0DF7" w:rsidRPr="003D1BE3">
        <w:rPr>
          <w:rFonts w:asciiTheme="minorBidi" w:hAnsiTheme="minorBidi"/>
        </w:rPr>
        <w:t>Jacques</w:t>
      </w:r>
      <w:r w:rsidR="001C4EF2" w:rsidRPr="003D1BE3">
        <w:rPr>
          <w:rFonts w:asciiTheme="minorBidi" w:hAnsiTheme="minorBidi"/>
        </w:rPr>
        <w:t xml:space="preserve"> Lacan that are dealing with the concept of the </w:t>
      </w:r>
      <w:r w:rsidR="00DA0DF7" w:rsidRPr="003D1BE3">
        <w:rPr>
          <w:rFonts w:asciiTheme="minorBidi" w:hAnsiTheme="minorBidi"/>
        </w:rPr>
        <w:t>V</w:t>
      </w:r>
      <w:r w:rsidR="001C4EF2" w:rsidRPr="003D1BE3">
        <w:rPr>
          <w:rFonts w:asciiTheme="minorBidi" w:hAnsiTheme="minorBidi"/>
        </w:rPr>
        <w:t>is</w:t>
      </w:r>
      <w:r w:rsidR="00F77336" w:rsidRPr="003D1BE3">
        <w:rPr>
          <w:rFonts w:asciiTheme="minorBidi" w:hAnsiTheme="minorBidi"/>
        </w:rPr>
        <w:t>ual</w:t>
      </w:r>
      <w:r w:rsidR="00DA0DF7" w:rsidRPr="003D1BE3">
        <w:rPr>
          <w:rFonts w:asciiTheme="minorBidi" w:hAnsiTheme="minorBidi"/>
        </w:rPr>
        <w:t xml:space="preserve"> and Gaze</w:t>
      </w:r>
      <w:r w:rsidR="00F77336" w:rsidRPr="003D1BE3">
        <w:rPr>
          <w:rFonts w:asciiTheme="minorBidi" w:hAnsiTheme="minorBidi"/>
        </w:rPr>
        <w:t xml:space="preserve">. Also we will read text by </w:t>
      </w:r>
      <w:r w:rsidR="00DA0DF7" w:rsidRPr="003D1BE3">
        <w:rPr>
          <w:rFonts w:asciiTheme="minorBidi" w:hAnsiTheme="minorBidi"/>
        </w:rPr>
        <w:t>Louis</w:t>
      </w:r>
      <w:r w:rsidR="00F77336" w:rsidRPr="003D1BE3">
        <w:rPr>
          <w:rFonts w:asciiTheme="minorBidi" w:hAnsiTheme="minorBidi"/>
        </w:rPr>
        <w:t xml:space="preserve"> Althusser and Slavoj Zizek, who </w:t>
      </w:r>
      <w:r w:rsidR="00530EFB" w:rsidRPr="003D1BE3">
        <w:rPr>
          <w:rFonts w:asciiTheme="minorBidi" w:hAnsiTheme="minorBidi"/>
        </w:rPr>
        <w:t>followed that psychanalytic discuss</w:t>
      </w:r>
      <w:r w:rsidR="006C52CB" w:rsidRPr="003D1BE3">
        <w:rPr>
          <w:rFonts w:asciiTheme="minorBidi" w:hAnsiTheme="minorBidi"/>
        </w:rPr>
        <w:t>ion</w:t>
      </w:r>
      <w:r w:rsidR="00530EFB" w:rsidRPr="003D1BE3">
        <w:rPr>
          <w:rFonts w:asciiTheme="minorBidi" w:hAnsiTheme="minorBidi"/>
        </w:rPr>
        <w:t xml:space="preserve"> and </w:t>
      </w:r>
      <w:r w:rsidR="00DA0DF7" w:rsidRPr="003D1BE3">
        <w:rPr>
          <w:rFonts w:asciiTheme="minorBidi" w:hAnsiTheme="minorBidi"/>
        </w:rPr>
        <w:t>constitute</w:t>
      </w:r>
      <w:r w:rsidR="00530EFB" w:rsidRPr="003D1BE3">
        <w:rPr>
          <w:rFonts w:asciiTheme="minorBidi" w:hAnsiTheme="minorBidi"/>
        </w:rPr>
        <w:t xml:space="preserve"> a unique concept of the ideological imaginary. </w:t>
      </w:r>
      <w:r w:rsidR="00F77336" w:rsidRPr="003D1BE3">
        <w:rPr>
          <w:rFonts w:asciiTheme="minorBidi" w:hAnsiTheme="minorBidi"/>
        </w:rPr>
        <w:t xml:space="preserve"> </w:t>
      </w:r>
    </w:p>
    <w:p w:rsidR="00286472" w:rsidRPr="003D1BE3" w:rsidRDefault="00286472" w:rsidP="001F2157">
      <w:pPr>
        <w:spacing w:line="240" w:lineRule="auto"/>
        <w:jc w:val="both"/>
        <w:rPr>
          <w:rFonts w:asciiTheme="minorBidi" w:hAnsiTheme="minorBidi"/>
        </w:rPr>
      </w:pPr>
    </w:p>
    <w:p w:rsidR="001F2157" w:rsidRPr="003D1BE3" w:rsidRDefault="001F2157" w:rsidP="001F2157">
      <w:pPr>
        <w:spacing w:after="0" w:line="240" w:lineRule="auto"/>
        <w:rPr>
          <w:rFonts w:asciiTheme="minorBidi" w:hAnsiTheme="minorBidi"/>
          <w:rtl/>
        </w:rPr>
      </w:pPr>
      <w:r w:rsidRPr="003D1BE3">
        <w:rPr>
          <w:rFonts w:asciiTheme="minorBidi" w:hAnsiTheme="minorBidi"/>
          <w:u w:val="single"/>
          <w:rtl/>
        </w:rPr>
        <w:t>דרישות הקורס/הרכב הציון</w:t>
      </w:r>
      <w:r w:rsidRPr="003D1BE3">
        <w:rPr>
          <w:rFonts w:asciiTheme="minorBidi" w:hAnsiTheme="minorBidi"/>
          <w:rtl/>
        </w:rPr>
        <w:t xml:space="preserve">: נוכחות מלאה, קריאת החומרים הנדרשים משיעור לשיעור, </w:t>
      </w:r>
      <w:r w:rsidR="0015097F" w:rsidRPr="003D1BE3">
        <w:rPr>
          <w:rFonts w:asciiTheme="minorBidi" w:hAnsiTheme="minorBidi"/>
          <w:rtl/>
        </w:rPr>
        <w:t>מבחן בית</w:t>
      </w:r>
      <w:r w:rsidRPr="003D1BE3">
        <w:rPr>
          <w:rFonts w:asciiTheme="minorBidi" w:hAnsiTheme="minorBidi"/>
          <w:rtl/>
        </w:rPr>
        <w:t xml:space="preserve">. </w:t>
      </w:r>
    </w:p>
    <w:p w:rsidR="0012467B" w:rsidRPr="003D1BE3" w:rsidRDefault="0012467B" w:rsidP="0012467B">
      <w:pPr>
        <w:spacing w:after="0" w:line="240" w:lineRule="auto"/>
        <w:jc w:val="both"/>
        <w:rPr>
          <w:rFonts w:asciiTheme="minorBidi" w:hAnsiTheme="minorBidi"/>
          <w:rtl/>
        </w:rPr>
      </w:pPr>
      <w:r w:rsidRPr="003D1BE3">
        <w:rPr>
          <w:rFonts w:asciiTheme="minorBidi" w:hAnsiTheme="minorBidi"/>
          <w:rtl/>
        </w:rPr>
        <w:t xml:space="preserve">100% ציון מבחן בית </w:t>
      </w:r>
    </w:p>
    <w:p w:rsidR="003346A3" w:rsidRPr="003D1BE3" w:rsidRDefault="003346A3" w:rsidP="003346A3">
      <w:pPr>
        <w:spacing w:after="0" w:line="240" w:lineRule="auto"/>
        <w:jc w:val="both"/>
        <w:rPr>
          <w:rFonts w:asciiTheme="minorBidi" w:hAnsiTheme="minorBidi"/>
          <w:rtl/>
        </w:rPr>
      </w:pPr>
      <w:r w:rsidRPr="003D1BE3">
        <w:rPr>
          <w:rFonts w:asciiTheme="minorBidi" w:hAnsiTheme="minorBidi"/>
          <w:b/>
          <w:bCs/>
          <w:u w:val="single"/>
          <w:rtl/>
        </w:rPr>
        <w:t>מהלך הקורס:</w:t>
      </w:r>
      <w:r w:rsidRPr="003D1BE3">
        <w:rPr>
          <w:rFonts w:asciiTheme="minorBidi" w:hAnsiTheme="minorBidi"/>
          <w:rtl/>
        </w:rPr>
        <w:t xml:space="preserve"> </w:t>
      </w:r>
    </w:p>
    <w:p w:rsidR="003346A3" w:rsidRPr="003D1BE3" w:rsidRDefault="003346A3" w:rsidP="003346A3">
      <w:pPr>
        <w:spacing w:line="240" w:lineRule="auto"/>
        <w:jc w:val="both"/>
        <w:rPr>
          <w:rFonts w:asciiTheme="minorBidi" w:hAnsiTheme="minorBidi"/>
          <w:rtl/>
        </w:rPr>
      </w:pPr>
    </w:p>
    <w:p w:rsidR="003346A3" w:rsidRPr="003D1BE3" w:rsidRDefault="003346A3" w:rsidP="003346A3">
      <w:pPr>
        <w:spacing w:after="0" w:line="240" w:lineRule="auto"/>
        <w:jc w:val="both"/>
        <w:rPr>
          <w:rFonts w:asciiTheme="minorBidi" w:hAnsiTheme="minorBidi"/>
          <w:rtl/>
        </w:rPr>
      </w:pP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 xml:space="preserve">מבוא: פסיכואנליזה והחזותי </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 xml:space="preserve">מושגי יסוד בתיאוריה של פרויד </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העתיקים: הנרקיסיזם אצל אובידיוס והעין הרעה ביהדות</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הנרקיסיזם אצל פרויד</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העונג הסקופי אצל פרויד</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האלביתי והעין הרעה</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 xml:space="preserve">מושגי יסוד בתיאוריה של לאקאן </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 xml:space="preserve">שלב המראה – תפיסה מוקדמת של לאקאן </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פרנויה והדימיוני</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 xml:space="preserve">תפיסת המבט והממשי בסמינר 11 של לאקאן </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לאקאן ביחס לסרטר ומרלו-פונטי</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 xml:space="preserve">אלתוסר בעקבות לאקאן </w:t>
      </w:r>
    </w:p>
    <w:p w:rsidR="003346A3" w:rsidRPr="003D1BE3" w:rsidRDefault="003346A3" w:rsidP="003346A3">
      <w:pPr>
        <w:pStyle w:val="a8"/>
        <w:numPr>
          <w:ilvl w:val="0"/>
          <w:numId w:val="8"/>
        </w:numPr>
        <w:spacing w:after="0" w:line="240" w:lineRule="auto"/>
        <w:ind w:left="0" w:firstLine="0"/>
        <w:rPr>
          <w:rFonts w:asciiTheme="minorBidi" w:hAnsiTheme="minorBidi"/>
        </w:rPr>
      </w:pPr>
      <w:r w:rsidRPr="003D1BE3">
        <w:rPr>
          <w:rFonts w:asciiTheme="minorBidi" w:hAnsiTheme="minorBidi"/>
          <w:rtl/>
        </w:rPr>
        <w:t xml:space="preserve">ז'יז'ק בעקבות לאקאן   </w:t>
      </w:r>
    </w:p>
    <w:p w:rsidR="001F2157" w:rsidRPr="003D1BE3" w:rsidRDefault="001F2157" w:rsidP="001F2157">
      <w:pPr>
        <w:spacing w:line="240" w:lineRule="auto"/>
        <w:jc w:val="both"/>
        <w:rPr>
          <w:rFonts w:asciiTheme="minorBidi" w:hAnsiTheme="minorBidi"/>
          <w:rtl/>
        </w:rPr>
      </w:pPr>
    </w:p>
    <w:p w:rsidR="001F2157" w:rsidRPr="003D1BE3" w:rsidRDefault="001F2157" w:rsidP="001F2157">
      <w:pPr>
        <w:spacing w:line="240" w:lineRule="auto"/>
        <w:jc w:val="both"/>
        <w:rPr>
          <w:rFonts w:asciiTheme="minorBidi" w:hAnsiTheme="minorBidi"/>
          <w:b/>
          <w:bCs/>
          <w:u w:val="single"/>
          <w:rtl/>
        </w:rPr>
      </w:pPr>
      <w:r w:rsidRPr="003D1BE3">
        <w:rPr>
          <w:rFonts w:asciiTheme="minorBidi" w:hAnsiTheme="minorBidi"/>
          <w:b/>
          <w:bCs/>
          <w:u w:val="single"/>
          <w:rtl/>
        </w:rPr>
        <w:t>חומרי קריאה</w:t>
      </w:r>
      <w:r w:rsidR="0015097F" w:rsidRPr="003D1BE3">
        <w:rPr>
          <w:rFonts w:asciiTheme="minorBidi" w:hAnsiTheme="minorBidi"/>
          <w:b/>
          <w:bCs/>
          <w:u w:val="single"/>
          <w:rtl/>
        </w:rPr>
        <w:t xml:space="preserve"> חובה</w:t>
      </w:r>
      <w:r w:rsidRPr="003D1BE3">
        <w:rPr>
          <w:rFonts w:asciiTheme="minorBidi" w:hAnsiTheme="minorBidi"/>
          <w:b/>
          <w:bCs/>
          <w:u w:val="single"/>
          <w:rtl/>
        </w:rPr>
        <w:t xml:space="preserve"> </w:t>
      </w:r>
    </w:p>
    <w:p w:rsidR="001F2157" w:rsidRPr="003D1BE3" w:rsidRDefault="001F2157" w:rsidP="001F2157">
      <w:pPr>
        <w:spacing w:line="240" w:lineRule="auto"/>
        <w:jc w:val="both"/>
        <w:rPr>
          <w:rFonts w:asciiTheme="minorBidi" w:hAnsiTheme="minorBidi"/>
          <w:b/>
          <w:bCs/>
          <w:rtl/>
        </w:rPr>
      </w:pPr>
      <w:r w:rsidRPr="003D1BE3">
        <w:rPr>
          <w:rFonts w:asciiTheme="minorBidi" w:hAnsiTheme="minorBidi"/>
          <w:b/>
          <w:bCs/>
          <w:rtl/>
        </w:rPr>
        <w:t>מאת זיגמונד פרויד</w:t>
      </w:r>
    </w:p>
    <w:p w:rsidR="001F2157" w:rsidRPr="003D1BE3" w:rsidRDefault="001F2157" w:rsidP="001F2157">
      <w:pPr>
        <w:spacing w:line="240" w:lineRule="auto"/>
        <w:jc w:val="both"/>
        <w:rPr>
          <w:rFonts w:asciiTheme="minorBidi" w:hAnsiTheme="minorBidi"/>
          <w:rtl/>
        </w:rPr>
      </w:pPr>
      <w:r w:rsidRPr="003D1BE3">
        <w:rPr>
          <w:rFonts w:asciiTheme="minorBidi" w:hAnsiTheme="minorBidi"/>
          <w:b/>
          <w:bCs/>
          <w:rtl/>
        </w:rPr>
        <w:t>האלביתי</w:t>
      </w:r>
      <w:r w:rsidRPr="003D1BE3">
        <w:rPr>
          <w:rFonts w:asciiTheme="minorBidi" w:hAnsiTheme="minorBidi"/>
          <w:rtl/>
        </w:rPr>
        <w:t xml:space="preserve"> (1919), בתוך: </w:t>
      </w:r>
      <w:r w:rsidRPr="003D1BE3">
        <w:rPr>
          <w:rFonts w:asciiTheme="minorBidi" w:hAnsiTheme="minorBidi"/>
          <w:b/>
          <w:bCs/>
          <w:rtl/>
        </w:rPr>
        <w:t>זיגמונד פרויד — מבחר כתבים, כרך ח</w:t>
      </w:r>
      <w:r w:rsidRPr="003D1BE3">
        <w:rPr>
          <w:rFonts w:asciiTheme="minorBidi" w:hAnsiTheme="minorBidi"/>
          <w:rtl/>
        </w:rPr>
        <w:t xml:space="preserve">, בצירוף התרגומים: "לעניין הפסיכולוגיה של האלביתי" </w:t>
      </w:r>
      <w:r w:rsidRPr="003D1BE3">
        <w:rPr>
          <w:rFonts w:asciiTheme="minorBidi" w:hAnsiTheme="minorBidi"/>
        </w:rPr>
        <w:t> </w:t>
      </w:r>
      <w:r w:rsidRPr="003D1BE3">
        <w:rPr>
          <w:rFonts w:asciiTheme="minorBidi" w:hAnsiTheme="minorBidi"/>
          <w:rtl/>
        </w:rPr>
        <w:t>מאת ארנסט ינטש ו"איש החול" מאת את"א הופמן, תרגום פרויד וינטש: רות גינזבורג, תרגום הופמן: נילי מירסקי, עורך: יצחק בנימיני, תל אביב: רסלינג, 2012</w:t>
      </w:r>
      <w:r w:rsidRPr="003D1BE3">
        <w:rPr>
          <w:rFonts w:asciiTheme="minorBidi" w:hAnsiTheme="minorBidi"/>
        </w:rPr>
        <w:t>.</w:t>
      </w:r>
    </w:p>
    <w:p w:rsidR="001F2157" w:rsidRPr="003D1BE3" w:rsidRDefault="001F2157" w:rsidP="001F2157">
      <w:pPr>
        <w:spacing w:line="240" w:lineRule="auto"/>
        <w:jc w:val="both"/>
        <w:rPr>
          <w:rFonts w:asciiTheme="minorBidi" w:hAnsiTheme="minorBidi"/>
        </w:rPr>
      </w:pPr>
      <w:r w:rsidRPr="003D1BE3">
        <w:rPr>
          <w:rFonts w:asciiTheme="minorBidi" w:hAnsiTheme="minorBidi"/>
          <w:b/>
          <w:bCs/>
          <w:rtl/>
        </w:rPr>
        <w:t>המשורר וההזיה</w:t>
      </w:r>
      <w:r w:rsidRPr="003D1BE3">
        <w:rPr>
          <w:rFonts w:asciiTheme="minorBidi" w:hAnsiTheme="minorBidi"/>
          <w:rtl/>
        </w:rPr>
        <w:t xml:space="preserve"> (1908), </w:t>
      </w:r>
      <w:r w:rsidRPr="003D1BE3">
        <w:rPr>
          <w:rFonts w:asciiTheme="minorBidi" w:hAnsiTheme="minorBidi"/>
          <w:b/>
          <w:bCs/>
          <w:rtl/>
        </w:rPr>
        <w:t>מעשה היצירה בראי הפסיכואנליזה</w:t>
      </w:r>
      <w:r w:rsidRPr="003D1BE3">
        <w:rPr>
          <w:rFonts w:asciiTheme="minorBidi" w:hAnsiTheme="minorBidi"/>
          <w:rtl/>
        </w:rPr>
        <w:t>, כתבי זיגמונד פרויד - כרך ב, תרגום: אריה בר, תל אביב: הוצאת דביר, 1967.</w:t>
      </w:r>
    </w:p>
    <w:p w:rsidR="001F2157" w:rsidRPr="003D1BE3" w:rsidRDefault="001F2157" w:rsidP="001F2157">
      <w:pPr>
        <w:spacing w:line="240" w:lineRule="auto"/>
        <w:jc w:val="both"/>
        <w:rPr>
          <w:rFonts w:asciiTheme="minorBidi" w:hAnsiTheme="minorBidi"/>
          <w:rtl/>
        </w:rPr>
      </w:pPr>
      <w:r w:rsidRPr="003D1BE3">
        <w:rPr>
          <w:rFonts w:asciiTheme="minorBidi" w:hAnsiTheme="minorBidi"/>
          <w:b/>
          <w:bCs/>
          <w:rtl/>
        </w:rPr>
        <w:t>הצגת הנרקיסיזם</w:t>
      </w:r>
      <w:r w:rsidRPr="003D1BE3">
        <w:rPr>
          <w:rFonts w:asciiTheme="minorBidi" w:hAnsiTheme="minorBidi"/>
          <w:rtl/>
        </w:rPr>
        <w:t xml:space="preserve"> (1914), בתוך </w:t>
      </w:r>
      <w:r w:rsidRPr="003D1BE3">
        <w:rPr>
          <w:rFonts w:asciiTheme="minorBidi" w:hAnsiTheme="minorBidi"/>
          <w:b/>
          <w:bCs/>
          <w:rtl/>
        </w:rPr>
        <w:t>זיגמונד פרויד – מבחר כתבים, כרך א</w:t>
      </w:r>
      <w:r w:rsidRPr="003D1BE3">
        <w:rPr>
          <w:rFonts w:asciiTheme="minorBidi" w:hAnsiTheme="minorBidi"/>
          <w:rtl/>
        </w:rPr>
        <w:t xml:space="preserve">, תרגום: </w:t>
      </w:r>
      <w:smartTag w:uri="urn:schemas-microsoft-com:office:smarttags" w:element="PersonName">
        <w:smartTagPr>
          <w:attr w:name="ProductID" w:val="דנית דותן"/>
        </w:smartTagPr>
        <w:r w:rsidRPr="003D1BE3">
          <w:rPr>
            <w:rFonts w:asciiTheme="minorBidi" w:hAnsiTheme="minorBidi"/>
            <w:rtl/>
          </w:rPr>
          <w:t>דנית דותן</w:t>
        </w:r>
      </w:smartTag>
      <w:r w:rsidRPr="003D1BE3">
        <w:rPr>
          <w:rFonts w:asciiTheme="minorBidi" w:hAnsiTheme="minorBidi"/>
          <w:rtl/>
        </w:rPr>
        <w:t>, תל אביב: רסלינג, 2007.</w:t>
      </w:r>
    </w:p>
    <w:p w:rsidR="001F2157" w:rsidRPr="003D1BE3" w:rsidRDefault="001F2157" w:rsidP="001F2157">
      <w:pPr>
        <w:spacing w:line="240" w:lineRule="auto"/>
        <w:jc w:val="both"/>
        <w:rPr>
          <w:rFonts w:asciiTheme="minorBidi" w:hAnsiTheme="minorBidi"/>
          <w:b/>
          <w:bCs/>
          <w:rtl/>
        </w:rPr>
      </w:pPr>
    </w:p>
    <w:p w:rsidR="001F2157" w:rsidRPr="003D1BE3" w:rsidRDefault="001F2157" w:rsidP="001F2157">
      <w:pPr>
        <w:spacing w:line="240" w:lineRule="auto"/>
        <w:jc w:val="both"/>
        <w:rPr>
          <w:rFonts w:asciiTheme="minorBidi" w:hAnsiTheme="minorBidi"/>
          <w:b/>
          <w:bCs/>
          <w:rtl/>
        </w:rPr>
      </w:pPr>
      <w:r w:rsidRPr="003D1BE3">
        <w:rPr>
          <w:rFonts w:asciiTheme="minorBidi" w:hAnsiTheme="minorBidi"/>
          <w:b/>
          <w:bCs/>
          <w:rtl/>
        </w:rPr>
        <w:t xml:space="preserve">מאת ז'אק לאקאן </w:t>
      </w:r>
    </w:p>
    <w:p w:rsidR="001F2157" w:rsidRPr="003D1BE3" w:rsidRDefault="001F2157" w:rsidP="001F2157">
      <w:pPr>
        <w:spacing w:line="240" w:lineRule="auto"/>
        <w:jc w:val="both"/>
        <w:rPr>
          <w:rFonts w:asciiTheme="minorBidi" w:hAnsiTheme="minorBidi"/>
          <w:rtl/>
        </w:rPr>
      </w:pPr>
      <w:r w:rsidRPr="003D1BE3">
        <w:rPr>
          <w:rFonts w:asciiTheme="minorBidi" w:hAnsiTheme="minorBidi"/>
          <w:b/>
          <w:bCs/>
          <w:rtl/>
        </w:rPr>
        <w:t>על שמות-האב</w:t>
      </w:r>
      <w:r w:rsidRPr="003D1BE3">
        <w:rPr>
          <w:rFonts w:asciiTheme="minorBidi" w:hAnsiTheme="minorBidi"/>
          <w:rtl/>
        </w:rPr>
        <w:t>, תל אביב: רסלינג, 2006.</w:t>
      </w:r>
    </w:p>
    <w:p w:rsidR="0091516A" w:rsidRPr="003D1BE3" w:rsidRDefault="0091516A" w:rsidP="0091516A">
      <w:pPr>
        <w:spacing w:after="0" w:line="240" w:lineRule="auto"/>
        <w:jc w:val="both"/>
        <w:rPr>
          <w:rFonts w:asciiTheme="minorBidi" w:hAnsiTheme="minorBidi"/>
          <w:rtl/>
        </w:rPr>
      </w:pPr>
      <w:r w:rsidRPr="003D1BE3">
        <w:rPr>
          <w:rFonts w:asciiTheme="minorBidi" w:hAnsiTheme="minorBidi"/>
          <w:b/>
          <w:bCs/>
          <w:rtl/>
        </w:rPr>
        <w:t>כתבים, כרך א</w:t>
      </w:r>
      <w:r w:rsidRPr="003D1BE3">
        <w:rPr>
          <w:rFonts w:asciiTheme="minorBidi" w:hAnsiTheme="minorBidi"/>
          <w:rtl/>
        </w:rPr>
        <w:t>, תרגום: נועם ברוך, תל אביב: רסלינג, 2015.</w:t>
      </w:r>
    </w:p>
    <w:p w:rsidR="0091516A" w:rsidRPr="003D1BE3" w:rsidRDefault="0091516A" w:rsidP="001F2157">
      <w:pPr>
        <w:bidi w:val="0"/>
        <w:spacing w:line="240" w:lineRule="auto"/>
        <w:jc w:val="both"/>
        <w:rPr>
          <w:rFonts w:asciiTheme="minorBidi" w:hAnsiTheme="minorBidi"/>
          <w:rtl/>
        </w:rPr>
      </w:pPr>
    </w:p>
    <w:p w:rsidR="001F2157" w:rsidRPr="003D1BE3" w:rsidRDefault="001F2157" w:rsidP="0091516A">
      <w:pPr>
        <w:bidi w:val="0"/>
        <w:spacing w:line="240" w:lineRule="auto"/>
        <w:jc w:val="both"/>
        <w:rPr>
          <w:rFonts w:asciiTheme="minorBidi" w:hAnsiTheme="minorBidi"/>
        </w:rPr>
      </w:pPr>
      <w:r w:rsidRPr="003D1BE3">
        <w:rPr>
          <w:rFonts w:asciiTheme="minorBidi" w:hAnsiTheme="minorBidi"/>
        </w:rPr>
        <w:t xml:space="preserve">Lacan, Jacques. 1964. </w:t>
      </w:r>
      <w:r w:rsidRPr="003D1BE3">
        <w:rPr>
          <w:rFonts w:asciiTheme="minorBidi" w:hAnsiTheme="minorBidi"/>
          <w:b/>
          <w:bCs/>
        </w:rPr>
        <w:t>The Four Fundamental Concepts of Psycho-Analysis</w:t>
      </w:r>
      <w:r w:rsidRPr="003D1BE3">
        <w:rPr>
          <w:rFonts w:asciiTheme="minorBidi" w:hAnsiTheme="minorBidi"/>
        </w:rPr>
        <w:t>. Trans. by Alan Sheridan. London: Penguin Books, 1994 (Seminar XI. Ed. by Jacques-Alain Miller).</w:t>
      </w:r>
    </w:p>
    <w:p w:rsidR="003D1BE3" w:rsidRPr="003D1BE3" w:rsidRDefault="003D1BE3" w:rsidP="003D1BE3">
      <w:pPr>
        <w:spacing w:after="0" w:line="240" w:lineRule="auto"/>
        <w:jc w:val="both"/>
        <w:rPr>
          <w:rFonts w:asciiTheme="minorBidi" w:hAnsiTheme="minorBidi"/>
          <w:rtl/>
        </w:rPr>
      </w:pPr>
      <w:r w:rsidRPr="003D1BE3">
        <w:rPr>
          <w:rFonts w:asciiTheme="minorBidi" w:hAnsiTheme="minorBidi"/>
          <w:rtl/>
        </w:rPr>
        <w:t xml:space="preserve">לואי אלתוסר, </w:t>
      </w:r>
      <w:r w:rsidRPr="003D1BE3">
        <w:rPr>
          <w:rFonts w:asciiTheme="minorBidi" w:hAnsiTheme="minorBidi"/>
          <w:b/>
          <w:bCs/>
          <w:rtl/>
        </w:rPr>
        <w:t>על האידיאולוגיה– מנגנוני המדינה האידיאולוגים</w:t>
      </w:r>
      <w:r w:rsidRPr="003D1BE3">
        <w:rPr>
          <w:rFonts w:asciiTheme="minorBidi" w:hAnsiTheme="minorBidi"/>
          <w:rtl/>
        </w:rPr>
        <w:t>, תרגום: אריאלה אזולאי, תל אביב: רסלינג, 2008.</w:t>
      </w:r>
    </w:p>
    <w:p w:rsidR="003D1BE3" w:rsidRPr="003D1BE3" w:rsidRDefault="003D1BE3" w:rsidP="003D1BE3">
      <w:pPr>
        <w:spacing w:line="240" w:lineRule="auto"/>
        <w:jc w:val="both"/>
        <w:rPr>
          <w:rFonts w:asciiTheme="minorBidi" w:hAnsiTheme="minorBidi"/>
          <w:rtl/>
        </w:rPr>
      </w:pPr>
    </w:p>
    <w:p w:rsidR="003D1BE3" w:rsidRPr="003D1BE3" w:rsidRDefault="003D1BE3" w:rsidP="003D1BE3">
      <w:pPr>
        <w:spacing w:after="0" w:line="240" w:lineRule="auto"/>
        <w:jc w:val="both"/>
        <w:rPr>
          <w:rFonts w:asciiTheme="minorBidi" w:hAnsiTheme="minorBidi"/>
          <w:b/>
          <w:bCs/>
          <w:rtl/>
        </w:rPr>
      </w:pPr>
      <w:r w:rsidRPr="003D1BE3">
        <w:rPr>
          <w:rFonts w:asciiTheme="minorBidi" w:hAnsiTheme="minorBidi"/>
          <w:b/>
          <w:bCs/>
          <w:rtl/>
        </w:rPr>
        <w:t xml:space="preserve">כתבי סלבוי ז'יז'ק </w:t>
      </w:r>
    </w:p>
    <w:p w:rsidR="003D1BE3" w:rsidRPr="003D1BE3" w:rsidRDefault="003D1BE3" w:rsidP="003D1BE3">
      <w:pPr>
        <w:spacing w:after="0" w:line="240" w:lineRule="auto"/>
        <w:jc w:val="both"/>
        <w:rPr>
          <w:rFonts w:asciiTheme="minorBidi" w:hAnsiTheme="minorBidi"/>
          <w:lang w:eastAsia="he-IL"/>
        </w:rPr>
      </w:pPr>
      <w:r w:rsidRPr="003D1BE3">
        <w:rPr>
          <w:rFonts w:asciiTheme="minorBidi" w:hAnsiTheme="minorBidi"/>
          <w:b/>
          <w:bCs/>
          <w:rtl/>
          <w:lang w:eastAsia="he-IL"/>
        </w:rPr>
        <w:t>התבוננות מן הצד</w:t>
      </w:r>
      <w:r w:rsidRPr="003D1BE3">
        <w:rPr>
          <w:rFonts w:asciiTheme="minorBidi" w:hAnsiTheme="minorBidi"/>
          <w:rtl/>
          <w:lang w:eastAsia="he-IL"/>
        </w:rPr>
        <w:t>, תל אביב: רסלינג, 2005.</w:t>
      </w:r>
    </w:p>
    <w:p w:rsidR="003D1BE3" w:rsidRPr="003D1BE3" w:rsidRDefault="003D1BE3" w:rsidP="003D1BE3">
      <w:pPr>
        <w:spacing w:after="0" w:line="240" w:lineRule="auto"/>
        <w:jc w:val="both"/>
        <w:rPr>
          <w:rFonts w:asciiTheme="minorBidi" w:hAnsiTheme="minorBidi"/>
          <w:rtl/>
          <w:lang w:eastAsia="he-IL"/>
        </w:rPr>
      </w:pPr>
      <w:r w:rsidRPr="003D1BE3">
        <w:rPr>
          <w:rFonts w:asciiTheme="minorBidi" w:hAnsiTheme="minorBidi"/>
          <w:b/>
          <w:bCs/>
          <w:rtl/>
          <w:lang w:eastAsia="he-IL"/>
        </w:rPr>
        <w:t>לאקאן עם היצ'קוק</w:t>
      </w:r>
      <w:r w:rsidRPr="003D1BE3">
        <w:rPr>
          <w:rFonts w:asciiTheme="minorBidi" w:hAnsiTheme="minorBidi"/>
          <w:rtl/>
          <w:lang w:eastAsia="he-IL"/>
        </w:rPr>
        <w:t>, תל אביב, רסלינג, 2004.</w:t>
      </w:r>
    </w:p>
    <w:p w:rsidR="003D1BE3" w:rsidRPr="003D1BE3" w:rsidRDefault="003D1BE3" w:rsidP="003D1BE3">
      <w:pPr>
        <w:keepNext/>
        <w:keepLines/>
        <w:widowControl w:val="0"/>
        <w:bidi w:val="0"/>
        <w:spacing w:after="0" w:line="240" w:lineRule="auto"/>
        <w:jc w:val="both"/>
        <w:rPr>
          <w:rFonts w:asciiTheme="minorBidi" w:hAnsiTheme="minorBidi"/>
        </w:rPr>
      </w:pPr>
      <w:r w:rsidRPr="003D1BE3">
        <w:rPr>
          <w:rFonts w:asciiTheme="minorBidi" w:hAnsiTheme="minorBidi"/>
          <w:i/>
          <w:iCs/>
        </w:rPr>
        <w:t>The Sublime Object of Ideology</w:t>
      </w:r>
      <w:r w:rsidRPr="003D1BE3">
        <w:rPr>
          <w:rFonts w:asciiTheme="minorBidi" w:hAnsiTheme="minorBidi"/>
        </w:rPr>
        <w:t xml:space="preserve">. London: Verso, 1989. </w:t>
      </w:r>
    </w:p>
    <w:p w:rsidR="001F2157" w:rsidRPr="003D1BE3" w:rsidRDefault="001F2157" w:rsidP="001F2157">
      <w:pPr>
        <w:spacing w:line="240" w:lineRule="auto"/>
        <w:jc w:val="both"/>
        <w:rPr>
          <w:rFonts w:asciiTheme="minorBidi" w:hAnsiTheme="minorBidi"/>
          <w:rtl/>
        </w:rPr>
      </w:pPr>
    </w:p>
    <w:p w:rsidR="001F2157" w:rsidRPr="003D1BE3" w:rsidRDefault="0015097F" w:rsidP="001F2157">
      <w:pPr>
        <w:spacing w:line="240" w:lineRule="auto"/>
        <w:jc w:val="both"/>
        <w:rPr>
          <w:rFonts w:asciiTheme="minorBidi" w:hAnsiTheme="minorBidi"/>
          <w:b/>
          <w:bCs/>
          <w:u w:val="single"/>
          <w:rtl/>
        </w:rPr>
      </w:pPr>
      <w:r w:rsidRPr="003D1BE3">
        <w:rPr>
          <w:rFonts w:asciiTheme="minorBidi" w:hAnsiTheme="minorBidi"/>
          <w:b/>
          <w:bCs/>
          <w:u w:val="single"/>
          <w:rtl/>
        </w:rPr>
        <w:t>קריאה רשות:</w:t>
      </w:r>
    </w:p>
    <w:p w:rsidR="001F2157" w:rsidRPr="003D1BE3" w:rsidRDefault="001F2157" w:rsidP="001F2157">
      <w:pPr>
        <w:spacing w:line="240" w:lineRule="auto"/>
        <w:jc w:val="both"/>
        <w:rPr>
          <w:rFonts w:asciiTheme="minorBidi" w:hAnsiTheme="minorBidi"/>
          <w:rtl/>
        </w:rPr>
      </w:pPr>
      <w:r w:rsidRPr="003D1BE3">
        <w:rPr>
          <w:rFonts w:asciiTheme="minorBidi" w:hAnsiTheme="minorBidi"/>
          <w:rtl/>
        </w:rPr>
        <w:t xml:space="preserve">אובידיוס, הפואמה על נרקיסוס ואקו, בתוך: </w:t>
      </w:r>
      <w:r w:rsidRPr="003D1BE3">
        <w:rPr>
          <w:rFonts w:asciiTheme="minorBidi" w:hAnsiTheme="minorBidi"/>
          <w:b/>
          <w:bCs/>
          <w:rtl/>
        </w:rPr>
        <w:t>מטמורפוזות</w:t>
      </w:r>
      <w:r w:rsidRPr="003D1BE3">
        <w:rPr>
          <w:rFonts w:asciiTheme="minorBidi" w:hAnsiTheme="minorBidi"/>
          <w:rtl/>
        </w:rPr>
        <w:t xml:space="preserve"> (כרך א'). תרגום: שלמה דיקמן. ירושלים: מוסד ביאליק, 1965. </w:t>
      </w:r>
    </w:p>
    <w:p w:rsidR="001F2157" w:rsidRPr="003D1BE3" w:rsidRDefault="001F2157" w:rsidP="001F2157">
      <w:pPr>
        <w:spacing w:line="240" w:lineRule="auto"/>
        <w:jc w:val="both"/>
        <w:rPr>
          <w:rFonts w:asciiTheme="minorBidi" w:hAnsiTheme="minorBidi"/>
          <w:rtl/>
        </w:rPr>
      </w:pPr>
      <w:r w:rsidRPr="003D1BE3">
        <w:rPr>
          <w:rFonts w:asciiTheme="minorBidi" w:hAnsiTheme="minorBidi"/>
          <w:rtl/>
        </w:rPr>
        <w:t xml:space="preserve">אטינגר, ברכה ל. 2011. "מעבר לחרדת 'המאוים': מאוים הייראה, מאוים החמלה וחיבוריות-גבול מטרקסיאלית", </w:t>
      </w:r>
      <w:r w:rsidRPr="003D1BE3">
        <w:rPr>
          <w:rFonts w:asciiTheme="minorBidi" w:hAnsiTheme="minorBidi"/>
          <w:b/>
          <w:bCs/>
          <w:rtl/>
        </w:rPr>
        <w:t>כתב העת פרוטוקולים</w:t>
      </w:r>
      <w:r w:rsidRPr="003D1BE3">
        <w:rPr>
          <w:rFonts w:asciiTheme="minorBidi" w:hAnsiTheme="minorBidi"/>
          <w:rtl/>
        </w:rPr>
        <w:t xml:space="preserve">, בצלאל, גיליון החושני באמנות </w:t>
      </w:r>
      <w:hyperlink r:id="rId7" w:history="1">
        <w:r w:rsidRPr="003D1BE3">
          <w:rPr>
            <w:rFonts w:asciiTheme="minorBidi" w:hAnsiTheme="minorBidi"/>
          </w:rPr>
          <w:t>http://bezalel.secured.co.il/zope/home/he/1315639275/1315656227</w:t>
        </w:r>
      </w:hyperlink>
    </w:p>
    <w:p w:rsidR="001F2157" w:rsidRPr="003D1BE3" w:rsidRDefault="001F2157" w:rsidP="001F2157">
      <w:pPr>
        <w:spacing w:line="240" w:lineRule="auto"/>
        <w:jc w:val="both"/>
        <w:rPr>
          <w:rFonts w:asciiTheme="minorBidi" w:hAnsiTheme="minorBidi"/>
          <w:rtl/>
        </w:rPr>
      </w:pPr>
      <w:r w:rsidRPr="003D1BE3">
        <w:rPr>
          <w:rFonts w:asciiTheme="minorBidi" w:hAnsiTheme="minorBidi"/>
          <w:rtl/>
        </w:rPr>
        <w:t xml:space="preserve">בנימיני, יצחק, 2009. </w:t>
      </w:r>
      <w:r w:rsidRPr="003D1BE3">
        <w:rPr>
          <w:rFonts w:asciiTheme="minorBidi" w:hAnsiTheme="minorBidi"/>
          <w:b/>
          <w:bCs/>
          <w:rtl/>
        </w:rPr>
        <w:t>השיח של לאקאן</w:t>
      </w:r>
      <w:r w:rsidRPr="003D1BE3">
        <w:rPr>
          <w:rFonts w:asciiTheme="minorBidi" w:hAnsiTheme="minorBidi"/>
          <w:rtl/>
        </w:rPr>
        <w:t xml:space="preserve">, תל אביב: רסלינג. </w:t>
      </w:r>
    </w:p>
    <w:p w:rsidR="001F2157" w:rsidRPr="003D1BE3" w:rsidRDefault="001F2157" w:rsidP="001F2157">
      <w:pPr>
        <w:spacing w:line="240" w:lineRule="auto"/>
        <w:jc w:val="both"/>
        <w:rPr>
          <w:rFonts w:asciiTheme="minorBidi" w:hAnsiTheme="minorBidi"/>
          <w:rtl/>
        </w:rPr>
      </w:pPr>
      <w:r w:rsidRPr="003D1BE3">
        <w:rPr>
          <w:rFonts w:asciiTheme="minorBidi" w:hAnsiTheme="minorBidi"/>
          <w:rtl/>
        </w:rPr>
        <w:t xml:space="preserve">רונן, רות. 2010. </w:t>
      </w:r>
      <w:r w:rsidRPr="003D1BE3">
        <w:rPr>
          <w:rFonts w:asciiTheme="minorBidi" w:hAnsiTheme="minorBidi"/>
          <w:b/>
          <w:bCs/>
          <w:rtl/>
        </w:rPr>
        <w:t>אמנות ללא נחת: הרצאות על פסיכואנליזה ואמנות</w:t>
      </w:r>
      <w:r w:rsidRPr="003D1BE3">
        <w:rPr>
          <w:rFonts w:asciiTheme="minorBidi" w:hAnsiTheme="minorBidi"/>
          <w:rtl/>
        </w:rPr>
        <w:t xml:space="preserve">. תל אביב: עם עובד. </w:t>
      </w:r>
    </w:p>
    <w:p w:rsidR="001F2157" w:rsidRPr="003D1BE3" w:rsidRDefault="001F2157" w:rsidP="001F2157">
      <w:pPr>
        <w:bidi w:val="0"/>
        <w:spacing w:line="240" w:lineRule="auto"/>
        <w:jc w:val="both"/>
        <w:rPr>
          <w:rFonts w:asciiTheme="minorBidi" w:hAnsiTheme="minorBidi"/>
        </w:rPr>
      </w:pPr>
      <w:r w:rsidRPr="003D1BE3">
        <w:rPr>
          <w:rFonts w:asciiTheme="minorBidi" w:hAnsiTheme="minorBidi"/>
        </w:rPr>
        <w:t xml:space="preserve">Foster, Hal. 1996. </w:t>
      </w:r>
      <w:r w:rsidRPr="003D1BE3">
        <w:rPr>
          <w:rFonts w:asciiTheme="minorBidi" w:hAnsiTheme="minorBidi"/>
          <w:b/>
          <w:bCs/>
        </w:rPr>
        <w:t>The Return of the Real: The Avante-Garde at the End of the Century</w:t>
      </w:r>
      <w:r w:rsidRPr="003D1BE3">
        <w:rPr>
          <w:rFonts w:asciiTheme="minorBidi" w:hAnsiTheme="minorBidi"/>
        </w:rPr>
        <w:t xml:space="preserve">. Cambridge: MIT Press. </w:t>
      </w:r>
    </w:p>
    <w:p w:rsidR="001F2157" w:rsidRPr="003D1BE3" w:rsidRDefault="001F2157" w:rsidP="001F2157">
      <w:pPr>
        <w:bidi w:val="0"/>
        <w:spacing w:line="240" w:lineRule="auto"/>
        <w:jc w:val="both"/>
        <w:rPr>
          <w:rFonts w:asciiTheme="minorBidi" w:hAnsiTheme="minorBidi"/>
        </w:rPr>
      </w:pPr>
      <w:r w:rsidRPr="003D1BE3">
        <w:rPr>
          <w:rFonts w:asciiTheme="minorBidi" w:hAnsiTheme="minorBidi"/>
        </w:rPr>
        <w:t xml:space="preserve">Jay, Martin. 1993. </w:t>
      </w:r>
      <w:r w:rsidRPr="003D1BE3">
        <w:rPr>
          <w:rFonts w:asciiTheme="minorBidi" w:hAnsiTheme="minorBidi"/>
          <w:b/>
          <w:bCs/>
        </w:rPr>
        <w:t>Downcast eyes: the denigration of vision in</w:t>
      </w:r>
      <w:r w:rsidRPr="003D1BE3">
        <w:rPr>
          <w:rFonts w:asciiTheme="minorBidi" w:hAnsiTheme="minorBidi"/>
          <w:b/>
          <w:bCs/>
          <w:rtl/>
        </w:rPr>
        <w:t xml:space="preserve"> </w:t>
      </w:r>
      <w:r w:rsidRPr="003D1BE3">
        <w:rPr>
          <w:rFonts w:asciiTheme="minorBidi" w:hAnsiTheme="minorBidi"/>
          <w:b/>
          <w:bCs/>
        </w:rPr>
        <w:t>twentieth-century French thought</w:t>
      </w:r>
      <w:r w:rsidRPr="003D1BE3">
        <w:rPr>
          <w:rFonts w:asciiTheme="minorBidi" w:hAnsiTheme="minorBidi"/>
        </w:rPr>
        <w:t>. Berkeley: University of California Press.</w:t>
      </w:r>
    </w:p>
    <w:sectPr w:rsidR="001F2157" w:rsidRPr="003D1BE3"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4D5B"/>
    <w:multiLevelType w:val="hybridMultilevel"/>
    <w:tmpl w:val="AAC0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216A5"/>
    <w:multiLevelType w:val="hybridMultilevel"/>
    <w:tmpl w:val="F64A3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890A26"/>
    <w:multiLevelType w:val="singleLevel"/>
    <w:tmpl w:val="A0F208DA"/>
    <w:lvl w:ilvl="0">
      <w:start w:val="1"/>
      <w:numFmt w:val="decimal"/>
      <w:lvlText w:val="%1."/>
      <w:lvlJc w:val="left"/>
      <w:pPr>
        <w:tabs>
          <w:tab w:val="num" w:pos="360"/>
        </w:tabs>
        <w:ind w:left="360" w:right="360" w:hanging="360"/>
      </w:pPr>
      <w:rPr>
        <w:rFonts w:hint="default"/>
        <w:sz w:val="24"/>
      </w:rPr>
    </w:lvl>
  </w:abstractNum>
  <w:abstractNum w:abstractNumId="3">
    <w:nsid w:val="36F87914"/>
    <w:multiLevelType w:val="hybridMultilevel"/>
    <w:tmpl w:val="97F4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794452"/>
    <w:multiLevelType w:val="hybridMultilevel"/>
    <w:tmpl w:val="5B94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04A83"/>
    <w:rsid w:val="000274FE"/>
    <w:rsid w:val="000455D9"/>
    <w:rsid w:val="0009410A"/>
    <w:rsid w:val="000A6849"/>
    <w:rsid w:val="000B6AB9"/>
    <w:rsid w:val="000F6921"/>
    <w:rsid w:val="0012467B"/>
    <w:rsid w:val="0015097F"/>
    <w:rsid w:val="001C4EF2"/>
    <w:rsid w:val="001C6702"/>
    <w:rsid w:val="001E468F"/>
    <w:rsid w:val="001F2157"/>
    <w:rsid w:val="0022611D"/>
    <w:rsid w:val="00247A3B"/>
    <w:rsid w:val="00286472"/>
    <w:rsid w:val="002B43BE"/>
    <w:rsid w:val="00302B91"/>
    <w:rsid w:val="003346A3"/>
    <w:rsid w:val="00356436"/>
    <w:rsid w:val="00363DE3"/>
    <w:rsid w:val="00364787"/>
    <w:rsid w:val="003A1088"/>
    <w:rsid w:val="003B40A9"/>
    <w:rsid w:val="003D1BE3"/>
    <w:rsid w:val="003F28BE"/>
    <w:rsid w:val="004572E6"/>
    <w:rsid w:val="004650A1"/>
    <w:rsid w:val="004D5E50"/>
    <w:rsid w:val="004F640F"/>
    <w:rsid w:val="00530EFB"/>
    <w:rsid w:val="005324E4"/>
    <w:rsid w:val="00564489"/>
    <w:rsid w:val="0056661A"/>
    <w:rsid w:val="005A72F1"/>
    <w:rsid w:val="005F1EEF"/>
    <w:rsid w:val="006232F1"/>
    <w:rsid w:val="006360BD"/>
    <w:rsid w:val="006A2C90"/>
    <w:rsid w:val="006C52CB"/>
    <w:rsid w:val="006E6651"/>
    <w:rsid w:val="006F239E"/>
    <w:rsid w:val="006F673B"/>
    <w:rsid w:val="00710514"/>
    <w:rsid w:val="007172F7"/>
    <w:rsid w:val="007954AB"/>
    <w:rsid w:val="007A49C0"/>
    <w:rsid w:val="007D5216"/>
    <w:rsid w:val="007E07AC"/>
    <w:rsid w:val="00823B17"/>
    <w:rsid w:val="00847B96"/>
    <w:rsid w:val="00854BAB"/>
    <w:rsid w:val="00861D81"/>
    <w:rsid w:val="00890E81"/>
    <w:rsid w:val="009058B7"/>
    <w:rsid w:val="0091516A"/>
    <w:rsid w:val="00937A72"/>
    <w:rsid w:val="00963431"/>
    <w:rsid w:val="00970E93"/>
    <w:rsid w:val="009733D9"/>
    <w:rsid w:val="009D2742"/>
    <w:rsid w:val="009F05EE"/>
    <w:rsid w:val="009F23CB"/>
    <w:rsid w:val="00A62173"/>
    <w:rsid w:val="00A97BD0"/>
    <w:rsid w:val="00AF6571"/>
    <w:rsid w:val="00B33608"/>
    <w:rsid w:val="00B4122A"/>
    <w:rsid w:val="00B713C0"/>
    <w:rsid w:val="00BC3F84"/>
    <w:rsid w:val="00C0560C"/>
    <w:rsid w:val="00C608D8"/>
    <w:rsid w:val="00CB387E"/>
    <w:rsid w:val="00CB5459"/>
    <w:rsid w:val="00CE6637"/>
    <w:rsid w:val="00D22954"/>
    <w:rsid w:val="00D23E1B"/>
    <w:rsid w:val="00D41440"/>
    <w:rsid w:val="00D53736"/>
    <w:rsid w:val="00D56B74"/>
    <w:rsid w:val="00D92DDA"/>
    <w:rsid w:val="00DA0DF7"/>
    <w:rsid w:val="00DC42BB"/>
    <w:rsid w:val="00DE32CD"/>
    <w:rsid w:val="00E31BB2"/>
    <w:rsid w:val="00F4327A"/>
    <w:rsid w:val="00F51836"/>
    <w:rsid w:val="00F75AB1"/>
    <w:rsid w:val="00F77336"/>
    <w:rsid w:val="00FA7F6F"/>
    <w:rsid w:val="00FC6D0B"/>
    <w:rsid w:val="00FE2E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NormalWeb">
    <w:name w:val="Normal (Web)"/>
    <w:basedOn w:val="a"/>
    <w:unhideWhenUsed/>
    <w:rsid w:val="004572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qFormat/>
    <w:rsid w:val="009F05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NormalWeb">
    <w:name w:val="Normal (Web)"/>
    <w:basedOn w:val="a"/>
    <w:unhideWhenUsed/>
    <w:rsid w:val="004572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qFormat/>
    <w:rsid w:val="009F0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4311">
      <w:bodyDiv w:val="1"/>
      <w:marLeft w:val="0"/>
      <w:marRight w:val="0"/>
      <w:marTop w:val="0"/>
      <w:marBottom w:val="0"/>
      <w:divBdr>
        <w:top w:val="none" w:sz="0" w:space="0" w:color="auto"/>
        <w:left w:val="none" w:sz="0" w:space="0" w:color="auto"/>
        <w:bottom w:val="none" w:sz="0" w:space="0" w:color="auto"/>
        <w:right w:val="none" w:sz="0" w:space="0" w:color="auto"/>
      </w:divBdr>
      <w:divsChild>
        <w:div w:id="238636225">
          <w:marLeft w:val="0"/>
          <w:marRight w:val="0"/>
          <w:marTop w:val="0"/>
          <w:marBottom w:val="0"/>
          <w:divBdr>
            <w:top w:val="none" w:sz="0" w:space="0" w:color="auto"/>
            <w:left w:val="none" w:sz="0" w:space="0" w:color="auto"/>
            <w:bottom w:val="none" w:sz="0" w:space="0" w:color="auto"/>
            <w:right w:val="none" w:sz="0" w:space="0" w:color="auto"/>
          </w:divBdr>
        </w:div>
        <w:div w:id="507522193">
          <w:marLeft w:val="0"/>
          <w:marRight w:val="0"/>
          <w:marTop w:val="0"/>
          <w:marBottom w:val="0"/>
          <w:divBdr>
            <w:top w:val="none" w:sz="0" w:space="0" w:color="auto"/>
            <w:left w:val="none" w:sz="0" w:space="0" w:color="auto"/>
            <w:bottom w:val="none" w:sz="0" w:space="0" w:color="auto"/>
            <w:right w:val="none" w:sz="0" w:space="0" w:color="auto"/>
          </w:divBdr>
        </w:div>
        <w:div w:id="1453595089">
          <w:marLeft w:val="0"/>
          <w:marRight w:val="0"/>
          <w:marTop w:val="0"/>
          <w:marBottom w:val="0"/>
          <w:divBdr>
            <w:top w:val="none" w:sz="0" w:space="0" w:color="auto"/>
            <w:left w:val="none" w:sz="0" w:space="0" w:color="auto"/>
            <w:bottom w:val="none" w:sz="0" w:space="0" w:color="auto"/>
            <w:right w:val="none" w:sz="0" w:space="0" w:color="auto"/>
          </w:divBdr>
        </w:div>
      </w:divsChild>
    </w:div>
    <w:div w:id="19943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zalel.secured.co.il/zope/home/he/1315639275/13156562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8193-967C-4A6D-922E-E615CF67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2648</Characters>
  <Application>Microsoft Office Word</Application>
  <DocSecurity>4</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2018-10-16T06:56:00Z</dcterms:created>
  <dcterms:modified xsi:type="dcterms:W3CDTF">2018-10-16T06:56:00Z</dcterms:modified>
</cp:coreProperties>
</file>