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EF" w:rsidRDefault="00A91CEF" w:rsidP="00A91CEF">
      <w:pPr>
        <w:spacing w:after="0" w:line="240" w:lineRule="auto"/>
        <w:jc w:val="center"/>
        <w:rPr>
          <w:rFonts w:ascii="Arial" w:eastAsia="Times New Roman" w:hAnsi="Arial" w:cs="Arial"/>
          <w:b/>
          <w:bCs/>
          <w:sz w:val="28"/>
          <w:szCs w:val="28"/>
          <w:rtl/>
          <w:lang w:eastAsia="he-IL"/>
        </w:rPr>
      </w:pPr>
      <w:bookmarkStart w:id="0" w:name="_GoBack"/>
      <w:bookmarkEnd w:id="0"/>
      <w:r w:rsidRPr="00D556C4">
        <w:rPr>
          <w:rFonts w:ascii="Arial" w:eastAsia="Times New Roman" w:hAnsi="Arial" w:cs="Arial" w:hint="cs"/>
          <w:b/>
          <w:bCs/>
          <w:sz w:val="28"/>
          <w:szCs w:val="28"/>
          <w:rtl/>
          <w:lang w:eastAsia="he-IL"/>
        </w:rPr>
        <w:t>מוזיאונים ולאומיות</w:t>
      </w:r>
    </w:p>
    <w:p w:rsidR="008568B2" w:rsidRDefault="008568B2" w:rsidP="008568B2">
      <w:pPr>
        <w:spacing w:after="0" w:line="240" w:lineRule="auto"/>
        <w:jc w:val="center"/>
        <w:rPr>
          <w:rFonts w:ascii="Arial" w:eastAsia="Times New Roman" w:hAnsi="Arial" w:cs="Arial"/>
          <w:b/>
          <w:bCs/>
          <w:sz w:val="28"/>
          <w:szCs w:val="28"/>
          <w:rtl/>
          <w:lang w:eastAsia="he-IL"/>
        </w:rPr>
      </w:pPr>
      <w:r>
        <w:rPr>
          <w:rFonts w:ascii="Arial" w:eastAsia="Times New Roman" w:hAnsi="Arial" w:cs="Arial"/>
          <w:b/>
          <w:bCs/>
          <w:sz w:val="28"/>
          <w:szCs w:val="28"/>
          <w:lang w:eastAsia="he-IL"/>
        </w:rPr>
        <w:t>Museums and Nationalism</w:t>
      </w:r>
    </w:p>
    <w:p w:rsidR="008568B2" w:rsidRPr="008568B2" w:rsidRDefault="008568B2" w:rsidP="008568B2">
      <w:pPr>
        <w:spacing w:after="0" w:line="240" w:lineRule="auto"/>
        <w:jc w:val="center"/>
        <w:rPr>
          <w:rFonts w:ascii="Arial" w:eastAsia="Times New Roman" w:hAnsi="Arial" w:cs="Arial"/>
          <w:b/>
          <w:bCs/>
          <w:sz w:val="24"/>
          <w:szCs w:val="24"/>
          <w:lang w:eastAsia="he-IL"/>
        </w:rPr>
      </w:pPr>
      <w:r w:rsidRPr="008568B2">
        <w:rPr>
          <w:rFonts w:ascii="Arial" w:eastAsia="Times New Roman" w:hAnsi="Arial" w:cs="Arial" w:hint="cs"/>
          <w:b/>
          <w:bCs/>
          <w:sz w:val="24"/>
          <w:szCs w:val="24"/>
          <w:rtl/>
          <w:lang w:eastAsia="he-IL"/>
        </w:rPr>
        <w:t>ד"ר שמוליק מאירי</w:t>
      </w:r>
    </w:p>
    <w:p w:rsidR="00637E65" w:rsidRDefault="00637E65" w:rsidP="00A91CEF">
      <w:pPr>
        <w:spacing w:after="0" w:line="240" w:lineRule="auto"/>
        <w:jc w:val="center"/>
        <w:rPr>
          <w:rFonts w:ascii="Arial" w:eastAsia="Times New Roman" w:hAnsi="Arial" w:cs="Arial"/>
          <w:b/>
          <w:bCs/>
          <w:sz w:val="24"/>
          <w:szCs w:val="24"/>
          <w:rtl/>
          <w:lang w:eastAsia="he-IL"/>
        </w:rPr>
      </w:pPr>
    </w:p>
    <w:p w:rsidR="00637E65" w:rsidRDefault="00637E65" w:rsidP="00F82F72">
      <w:pPr>
        <w:spacing w:after="0" w:line="240" w:lineRule="auto"/>
        <w:jc w:val="center"/>
        <w:rPr>
          <w:rFonts w:ascii="Arial" w:eastAsia="Times New Roman" w:hAnsi="Arial" w:cs="Arial"/>
          <w:b/>
          <w:bCs/>
          <w:sz w:val="24"/>
          <w:szCs w:val="24"/>
          <w:rtl/>
          <w:lang w:eastAsia="he-IL"/>
        </w:rPr>
      </w:pPr>
      <w:r>
        <w:rPr>
          <w:rFonts w:ascii="Arial" w:eastAsia="Times New Roman" w:hAnsi="Arial" w:cs="Arial" w:hint="cs"/>
          <w:b/>
          <w:bCs/>
          <w:sz w:val="24"/>
          <w:szCs w:val="24"/>
          <w:rtl/>
          <w:lang w:eastAsia="he-IL"/>
        </w:rPr>
        <w:t>תשע"</w:t>
      </w:r>
      <w:r w:rsidR="00F82F72">
        <w:rPr>
          <w:rFonts w:ascii="Arial" w:eastAsia="Times New Roman" w:hAnsi="Arial" w:cs="Arial" w:hint="cs"/>
          <w:b/>
          <w:bCs/>
          <w:sz w:val="24"/>
          <w:szCs w:val="24"/>
          <w:rtl/>
          <w:lang w:eastAsia="he-IL"/>
        </w:rPr>
        <w:t>ח</w:t>
      </w:r>
      <w:r w:rsidRPr="00637E65">
        <w:rPr>
          <w:rFonts w:ascii="Arial" w:eastAsia="Times New Roman" w:hAnsi="Arial" w:cs="Arial" w:hint="cs"/>
          <w:b/>
          <w:bCs/>
          <w:sz w:val="24"/>
          <w:szCs w:val="24"/>
          <w:rtl/>
          <w:lang w:eastAsia="he-IL"/>
        </w:rPr>
        <w:t xml:space="preserve"> </w:t>
      </w:r>
    </w:p>
    <w:p w:rsidR="00023305" w:rsidRPr="00644D11" w:rsidRDefault="00023305" w:rsidP="00023305">
      <w:pPr>
        <w:spacing w:after="0" w:line="360" w:lineRule="auto"/>
        <w:jc w:val="both"/>
        <w:rPr>
          <w:rFonts w:asciiTheme="minorBidi" w:hAnsiTheme="minorBidi"/>
          <w:sz w:val="24"/>
          <w:szCs w:val="24"/>
          <w:rtl/>
        </w:rPr>
      </w:pPr>
    </w:p>
    <w:p w:rsidR="00023305" w:rsidRPr="00644D11" w:rsidRDefault="00023305" w:rsidP="00023305">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 xml:space="preserve">היקף הקורס בנ"ז: </w:t>
      </w:r>
      <w:r w:rsidRPr="00644D11">
        <w:rPr>
          <w:rFonts w:asciiTheme="minorBidi" w:hAnsiTheme="minorBidi"/>
          <w:sz w:val="24"/>
          <w:szCs w:val="24"/>
          <w:rtl/>
        </w:rPr>
        <w:t>4</w:t>
      </w:r>
    </w:p>
    <w:p w:rsidR="00023305" w:rsidRPr="00644D11" w:rsidRDefault="00023305" w:rsidP="00023305">
      <w:pPr>
        <w:spacing w:after="0" w:line="360" w:lineRule="auto"/>
        <w:jc w:val="both"/>
        <w:rPr>
          <w:rFonts w:asciiTheme="minorBidi" w:hAnsiTheme="minorBidi"/>
          <w:b/>
          <w:bCs/>
          <w:sz w:val="24"/>
          <w:szCs w:val="24"/>
          <w:u w:val="single"/>
          <w:rtl/>
        </w:rPr>
      </w:pPr>
      <w:r w:rsidRPr="00644D11">
        <w:rPr>
          <w:rFonts w:asciiTheme="minorBidi" w:hAnsiTheme="minorBidi"/>
          <w:b/>
          <w:bCs/>
          <w:sz w:val="24"/>
          <w:szCs w:val="24"/>
          <w:u w:val="single"/>
          <w:rtl/>
        </w:rPr>
        <w:t xml:space="preserve">היקף הקורס בשש"ש: </w:t>
      </w:r>
      <w:r w:rsidRPr="00644D11">
        <w:rPr>
          <w:rFonts w:asciiTheme="minorBidi" w:hAnsiTheme="minorBidi"/>
          <w:sz w:val="24"/>
          <w:szCs w:val="24"/>
          <w:rtl/>
        </w:rPr>
        <w:t xml:space="preserve"> 4</w:t>
      </w:r>
    </w:p>
    <w:p w:rsidR="00023305" w:rsidRPr="00644D11" w:rsidRDefault="00023305" w:rsidP="00023305">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סוג הקורס:</w:t>
      </w:r>
      <w:r w:rsidRPr="00644D11">
        <w:rPr>
          <w:rFonts w:asciiTheme="minorBidi" w:hAnsiTheme="minorBidi"/>
          <w:sz w:val="24"/>
          <w:szCs w:val="24"/>
          <w:rtl/>
        </w:rPr>
        <w:t xml:space="preserve">  פרוסמינר</w:t>
      </w:r>
    </w:p>
    <w:p w:rsidR="00023305" w:rsidRPr="00644D11" w:rsidRDefault="00023305" w:rsidP="00023305">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שנת הלימוד</w:t>
      </w:r>
      <w:r w:rsidRPr="00644D11">
        <w:rPr>
          <w:rFonts w:asciiTheme="minorBidi" w:hAnsiTheme="minorBidi"/>
          <w:b/>
          <w:bCs/>
          <w:sz w:val="24"/>
          <w:szCs w:val="24"/>
          <w:rtl/>
        </w:rPr>
        <w:t xml:space="preserve">:  </w:t>
      </w:r>
      <w:r w:rsidRPr="00644D11">
        <w:rPr>
          <w:rFonts w:asciiTheme="minorBidi" w:hAnsiTheme="minorBidi"/>
          <w:sz w:val="24"/>
          <w:szCs w:val="24"/>
          <w:rtl/>
        </w:rPr>
        <w:t>ב</w:t>
      </w:r>
    </w:p>
    <w:p w:rsidR="00023305" w:rsidRDefault="00023305" w:rsidP="00023305">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 xml:space="preserve">סמסטר: </w:t>
      </w:r>
      <w:r w:rsidRPr="00644D11">
        <w:rPr>
          <w:rFonts w:asciiTheme="minorBidi" w:hAnsiTheme="minorBidi"/>
          <w:sz w:val="24"/>
          <w:szCs w:val="24"/>
          <w:rtl/>
        </w:rPr>
        <w:t xml:space="preserve"> שנתי</w:t>
      </w:r>
    </w:p>
    <w:p w:rsidR="00644D11" w:rsidRPr="00644D11" w:rsidRDefault="00644D11" w:rsidP="00644D11">
      <w:pPr>
        <w:spacing w:after="0" w:line="240" w:lineRule="auto"/>
        <w:rPr>
          <w:rFonts w:asciiTheme="minorBidi" w:eastAsia="Times New Roman" w:hAnsiTheme="minorBidi"/>
          <w:b/>
          <w:bCs/>
          <w:sz w:val="24"/>
          <w:szCs w:val="24"/>
          <w:rtl/>
          <w:lang w:eastAsia="he-IL"/>
        </w:rPr>
      </w:pPr>
      <w:r w:rsidRPr="00644D11">
        <w:rPr>
          <w:rFonts w:asciiTheme="minorBidi" w:eastAsia="Times New Roman" w:hAnsiTheme="minorBidi"/>
          <w:b/>
          <w:bCs/>
          <w:sz w:val="24"/>
          <w:szCs w:val="24"/>
          <w:rtl/>
          <w:lang w:eastAsia="he-IL"/>
        </w:rPr>
        <w:t>כתובת המרצה:</w:t>
      </w:r>
    </w:p>
    <w:p w:rsidR="00644D11" w:rsidRPr="00644D11" w:rsidRDefault="00BD1251" w:rsidP="00644D11">
      <w:pPr>
        <w:spacing w:after="0" w:line="240" w:lineRule="auto"/>
        <w:rPr>
          <w:rFonts w:asciiTheme="minorBidi" w:eastAsia="Times New Roman" w:hAnsiTheme="minorBidi"/>
          <w:b/>
          <w:bCs/>
          <w:sz w:val="24"/>
          <w:szCs w:val="24"/>
          <w:lang w:eastAsia="he-IL"/>
        </w:rPr>
      </w:pPr>
      <w:hyperlink r:id="rId8" w:history="1">
        <w:r w:rsidR="00644D11" w:rsidRPr="00644D11">
          <w:rPr>
            <w:rStyle w:val="Hyperlink"/>
            <w:rFonts w:asciiTheme="minorBidi" w:eastAsia="Times New Roman" w:hAnsiTheme="minorBidi"/>
            <w:b/>
            <w:bCs/>
            <w:sz w:val="24"/>
            <w:szCs w:val="24"/>
            <w:lang w:eastAsia="he-IL"/>
          </w:rPr>
          <w:t>Meiri1@netvision.net.il</w:t>
        </w:r>
      </w:hyperlink>
    </w:p>
    <w:p w:rsidR="00644D11" w:rsidRPr="00644D11" w:rsidRDefault="00644D11" w:rsidP="00023305">
      <w:pPr>
        <w:spacing w:after="0" w:line="360" w:lineRule="auto"/>
        <w:jc w:val="both"/>
        <w:rPr>
          <w:rFonts w:asciiTheme="minorBidi" w:hAnsiTheme="minorBidi"/>
          <w:sz w:val="24"/>
          <w:szCs w:val="24"/>
          <w:rtl/>
        </w:rPr>
      </w:pPr>
    </w:p>
    <w:p w:rsidR="00023305" w:rsidRPr="00644D11" w:rsidRDefault="00023305" w:rsidP="00023305">
      <w:pPr>
        <w:spacing w:after="0" w:line="360" w:lineRule="auto"/>
        <w:jc w:val="both"/>
        <w:rPr>
          <w:rFonts w:asciiTheme="minorBidi" w:hAnsiTheme="minorBidi"/>
          <w:b/>
          <w:bCs/>
          <w:sz w:val="24"/>
          <w:szCs w:val="24"/>
          <w:rtl/>
        </w:rPr>
      </w:pPr>
      <w:r w:rsidRPr="00644D11">
        <w:rPr>
          <w:rFonts w:asciiTheme="minorBidi" w:hAnsiTheme="minorBidi"/>
          <w:b/>
          <w:bCs/>
          <w:sz w:val="24"/>
          <w:szCs w:val="24"/>
          <w:rtl/>
        </w:rPr>
        <w:t xml:space="preserve"> תמצית הקורס</w:t>
      </w:r>
    </w:p>
    <w:p w:rsidR="00A91CEF" w:rsidRPr="00644D11" w:rsidRDefault="00A91CEF" w:rsidP="00A91CEF">
      <w:pPr>
        <w:spacing w:after="0" w:line="240" w:lineRule="auto"/>
        <w:jc w:val="center"/>
        <w:rPr>
          <w:rFonts w:asciiTheme="minorBidi" w:eastAsia="Times New Roman" w:hAnsiTheme="minorBidi"/>
          <w:b/>
          <w:bCs/>
          <w:sz w:val="24"/>
          <w:szCs w:val="24"/>
          <w:rtl/>
          <w:lang w:eastAsia="he-IL"/>
        </w:rPr>
      </w:pPr>
    </w:p>
    <w:p w:rsidR="00A91CEF" w:rsidRPr="00644D11" w:rsidRDefault="00A91CEF" w:rsidP="00A91CEF">
      <w:pPr>
        <w:spacing w:after="0" w:line="360" w:lineRule="auto"/>
        <w:rPr>
          <w:rFonts w:asciiTheme="minorBidi" w:eastAsia="Times New Roman" w:hAnsiTheme="minorBidi"/>
          <w:sz w:val="24"/>
          <w:szCs w:val="24"/>
          <w:rtl/>
          <w:lang w:eastAsia="he-IL"/>
        </w:rPr>
      </w:pPr>
      <w:r w:rsidRPr="00644D11">
        <w:rPr>
          <w:rFonts w:asciiTheme="minorBidi" w:eastAsia="Times New Roman" w:hAnsiTheme="minorBidi"/>
          <w:sz w:val="24"/>
          <w:szCs w:val="24"/>
          <w:rtl/>
          <w:lang w:eastAsia="he-IL"/>
        </w:rPr>
        <w:t>"מפקד, מפה, מוזיאון". אלו הם שלושת הסמנים העיקריים בהבניית מדינת הלאום, לשיטתו של בנדיקט אנדרסון (</w:t>
      </w:r>
      <w:r w:rsidRPr="00644D11">
        <w:rPr>
          <w:rFonts w:asciiTheme="minorBidi" w:eastAsia="Times New Roman" w:hAnsiTheme="minorBidi"/>
          <w:i/>
          <w:iCs/>
          <w:sz w:val="24"/>
          <w:szCs w:val="24"/>
          <w:rtl/>
          <w:lang w:eastAsia="he-IL"/>
        </w:rPr>
        <w:t>קהילות מדומיינות</w:t>
      </w:r>
      <w:r w:rsidRPr="00644D11">
        <w:rPr>
          <w:rFonts w:asciiTheme="minorBidi" w:eastAsia="Times New Roman" w:hAnsiTheme="minorBidi"/>
          <w:sz w:val="24"/>
          <w:szCs w:val="24"/>
          <w:rtl/>
          <w:lang w:eastAsia="he-IL"/>
        </w:rPr>
        <w:t>, 1999). בפרוסמינר זה נבקש להתמקד במוזיאונים ולהידרש לסוגיית מקומם בהבניית הלאומיות, בחיזוקה ובהנחלתה.</w:t>
      </w:r>
    </w:p>
    <w:p w:rsidR="00A91CEF" w:rsidRPr="00644D11" w:rsidRDefault="00A91CEF" w:rsidP="00A91CEF">
      <w:pPr>
        <w:spacing w:after="0" w:line="360" w:lineRule="auto"/>
        <w:rPr>
          <w:rFonts w:asciiTheme="minorBidi" w:eastAsia="Times New Roman" w:hAnsiTheme="minorBidi"/>
          <w:sz w:val="24"/>
          <w:szCs w:val="24"/>
          <w:rtl/>
          <w:lang w:eastAsia="he-IL"/>
        </w:rPr>
      </w:pPr>
      <w:r w:rsidRPr="00644D11">
        <w:rPr>
          <w:rFonts w:asciiTheme="minorBidi" w:eastAsia="Times New Roman" w:hAnsiTheme="minorBidi"/>
          <w:sz w:val="24"/>
          <w:szCs w:val="24"/>
          <w:rtl/>
          <w:lang w:eastAsia="he-IL"/>
        </w:rPr>
        <w:t>מה היא לאומיות?</w:t>
      </w:r>
    </w:p>
    <w:p w:rsidR="00A91CEF" w:rsidRPr="00644D11" w:rsidRDefault="00A91CEF" w:rsidP="00A91CEF">
      <w:pPr>
        <w:spacing w:after="0" w:line="360" w:lineRule="auto"/>
        <w:rPr>
          <w:rFonts w:asciiTheme="minorBidi" w:eastAsia="Times New Roman" w:hAnsiTheme="minorBidi"/>
          <w:sz w:val="24"/>
          <w:szCs w:val="24"/>
          <w:rtl/>
          <w:lang w:eastAsia="he-IL"/>
        </w:rPr>
      </w:pPr>
      <w:r w:rsidRPr="00644D11">
        <w:rPr>
          <w:rFonts w:asciiTheme="minorBidi" w:eastAsia="Times New Roman" w:hAnsiTheme="minorBidi"/>
          <w:sz w:val="24"/>
          <w:szCs w:val="24"/>
          <w:rtl/>
          <w:lang w:eastAsia="he-IL"/>
        </w:rPr>
        <w:t>מה הוא מוזיאון?</w:t>
      </w:r>
    </w:p>
    <w:p w:rsidR="00A91CEF" w:rsidRPr="00644D11" w:rsidRDefault="00A91CEF" w:rsidP="00A91CEF">
      <w:pPr>
        <w:spacing w:after="0" w:line="360" w:lineRule="auto"/>
        <w:rPr>
          <w:rFonts w:asciiTheme="minorBidi" w:eastAsia="Times New Roman" w:hAnsiTheme="minorBidi"/>
          <w:sz w:val="24"/>
          <w:szCs w:val="24"/>
          <w:rtl/>
          <w:lang w:eastAsia="he-IL"/>
        </w:rPr>
      </w:pPr>
      <w:r w:rsidRPr="00644D11">
        <w:rPr>
          <w:rFonts w:asciiTheme="minorBidi" w:eastAsia="Times New Roman" w:hAnsiTheme="minorBidi"/>
          <w:sz w:val="24"/>
          <w:szCs w:val="24"/>
          <w:rtl/>
          <w:lang w:eastAsia="he-IL"/>
        </w:rPr>
        <w:t xml:space="preserve">במוקד הדיון תעמודנה הסוגיות הבאות: כיצד נרתמים/מגויסים כל תחומי הדעת, מאמנות והיסטוריה ועד מדע וטכנולוגיה, לחישול האתוס הלאומי תחת קורת הגג המוזיאונית? </w:t>
      </w:r>
    </w:p>
    <w:p w:rsidR="00A91CEF" w:rsidRPr="00644D11" w:rsidRDefault="00A91CEF" w:rsidP="003D2CA1">
      <w:pPr>
        <w:spacing w:after="0" w:line="360" w:lineRule="auto"/>
        <w:rPr>
          <w:rFonts w:asciiTheme="minorBidi" w:eastAsia="Times New Roman" w:hAnsiTheme="minorBidi"/>
          <w:sz w:val="24"/>
          <w:szCs w:val="24"/>
          <w:rtl/>
          <w:lang w:eastAsia="he-IL"/>
        </w:rPr>
      </w:pPr>
      <w:r w:rsidRPr="00644D11">
        <w:rPr>
          <w:rFonts w:asciiTheme="minorBidi" w:eastAsia="Times New Roman" w:hAnsiTheme="minorBidi"/>
          <w:sz w:val="24"/>
          <w:szCs w:val="24"/>
          <w:rtl/>
          <w:lang w:eastAsia="he-IL"/>
        </w:rPr>
        <w:t xml:space="preserve">איזה תפקיד ממלאים המוזיאונים בעיתות של לאומיות מתחדשת, כמו למשל ברפובליקות של ברית המועצות המתפרקת? מה מקומו של המוזיאון הלאומי במדינות רב אתניות כמו מדינות אמריקה (הצפונית והדרומית)? דגש מיוחד יושם בבחינת מקומם של מוזיאונים במרחב שלנו </w:t>
      </w:r>
      <w:r w:rsidR="003D2CA1" w:rsidRPr="00644D11">
        <w:rPr>
          <w:rFonts w:asciiTheme="minorBidi" w:eastAsia="Times New Roman" w:hAnsiTheme="minorBidi"/>
          <w:sz w:val="24"/>
          <w:szCs w:val="24"/>
          <w:rtl/>
          <w:lang w:eastAsia="he-IL"/>
        </w:rPr>
        <w:t xml:space="preserve">, לאומיות ישראלית אל מול לאומיות ערבית, </w:t>
      </w:r>
      <w:r w:rsidRPr="00644D11">
        <w:rPr>
          <w:rFonts w:asciiTheme="minorBidi" w:eastAsia="Times New Roman" w:hAnsiTheme="minorBidi"/>
          <w:sz w:val="24"/>
          <w:szCs w:val="24"/>
          <w:rtl/>
          <w:lang w:eastAsia="he-IL"/>
        </w:rPr>
        <w:t xml:space="preserve"> ניסיונות (הכושלים והצולחים כאחד) לייצר קונצנזוס/קאנון רחב ככל שניתן, הפוליטיזציה של המוזיאונים, הגמוניה אל מול ריבוי נרטיבים היסטוריים/חברתיים, ומהלכים "אנטי לאומיים" בשיח המוזיאלי. </w:t>
      </w:r>
    </w:p>
    <w:p w:rsidR="00C31270" w:rsidRPr="00644D11" w:rsidRDefault="00C31270" w:rsidP="003D2CA1">
      <w:pPr>
        <w:spacing w:after="0" w:line="360" w:lineRule="auto"/>
        <w:rPr>
          <w:rFonts w:asciiTheme="minorBidi" w:eastAsia="Times New Roman" w:hAnsiTheme="minorBidi"/>
          <w:sz w:val="24"/>
          <w:szCs w:val="24"/>
          <w:rtl/>
          <w:lang w:eastAsia="he-IL"/>
        </w:rPr>
      </w:pPr>
      <w:r w:rsidRPr="00644D11">
        <w:rPr>
          <w:rFonts w:asciiTheme="minorBidi" w:eastAsia="Times New Roman" w:hAnsiTheme="minorBidi"/>
          <w:sz w:val="24"/>
          <w:szCs w:val="24"/>
          <w:rtl/>
          <w:lang w:eastAsia="he-IL"/>
        </w:rPr>
        <w:t>מנגנוני תצוגה נוספים, דוגמת תערוכות עולמיות, ייסקרו בהקשר של לאומיות.</w:t>
      </w:r>
    </w:p>
    <w:p w:rsidR="00A91CEF" w:rsidRPr="00644D11" w:rsidRDefault="00A91CEF" w:rsidP="00A91CEF">
      <w:pPr>
        <w:spacing w:after="0" w:line="360" w:lineRule="auto"/>
        <w:rPr>
          <w:rFonts w:asciiTheme="minorBidi" w:eastAsia="Times New Roman" w:hAnsiTheme="minorBidi"/>
          <w:sz w:val="24"/>
          <w:szCs w:val="24"/>
          <w:rtl/>
          <w:lang w:eastAsia="he-IL"/>
        </w:rPr>
      </w:pPr>
    </w:p>
    <w:p w:rsidR="00A91CEF" w:rsidRPr="00644D11" w:rsidRDefault="00A91CEF" w:rsidP="00A91CEF">
      <w:pPr>
        <w:spacing w:line="360" w:lineRule="auto"/>
        <w:rPr>
          <w:rFonts w:asciiTheme="minorBidi" w:hAnsiTheme="minorBidi"/>
          <w:sz w:val="24"/>
          <w:szCs w:val="24"/>
          <w:rtl/>
        </w:rPr>
      </w:pPr>
      <w:r w:rsidRPr="00644D11">
        <w:rPr>
          <w:rFonts w:asciiTheme="minorBidi" w:hAnsiTheme="minorBidi"/>
          <w:sz w:val="24"/>
          <w:szCs w:val="24"/>
          <w:rtl/>
        </w:rPr>
        <w:t>חלקו הראשון של הקורס יהיה מושתת על הרצאות שבהן יוצגו שאלות היסוד ויידונו מספר מקרי בוחן, מתקופות שונות ומתחומים שונים .</w:t>
      </w:r>
    </w:p>
    <w:p w:rsidR="00A91CEF" w:rsidRPr="00644D11" w:rsidRDefault="00A91CEF" w:rsidP="00A91CEF">
      <w:pPr>
        <w:spacing w:line="360" w:lineRule="auto"/>
        <w:rPr>
          <w:rFonts w:asciiTheme="minorBidi" w:hAnsiTheme="minorBidi"/>
          <w:sz w:val="24"/>
          <w:szCs w:val="24"/>
          <w:rtl/>
        </w:rPr>
      </w:pPr>
      <w:r w:rsidRPr="00644D11">
        <w:rPr>
          <w:rFonts w:asciiTheme="minorBidi" w:hAnsiTheme="minorBidi"/>
          <w:sz w:val="24"/>
          <w:szCs w:val="24"/>
          <w:rtl/>
        </w:rPr>
        <w:t xml:space="preserve">חלקו השני של הקורס </w:t>
      </w:r>
      <w:r w:rsidR="008568B2">
        <w:rPr>
          <w:rFonts w:asciiTheme="minorBidi" w:hAnsiTheme="minorBidi" w:hint="cs"/>
          <w:sz w:val="24"/>
          <w:szCs w:val="24"/>
          <w:rtl/>
        </w:rPr>
        <w:t xml:space="preserve"> (המתקיים במקביל) </w:t>
      </w:r>
      <w:r w:rsidRPr="00644D11">
        <w:rPr>
          <w:rFonts w:asciiTheme="minorBidi" w:hAnsiTheme="minorBidi"/>
          <w:sz w:val="24"/>
          <w:szCs w:val="24"/>
          <w:rtl/>
        </w:rPr>
        <w:t>יוקדש לקריאה משותפת ומודרכת של טקסטים. מטרת המהלך לתרגל עם הסטודנט מיומנויות קריאה וניתוח של טקסטים עיוניים וניהול דיאלוג המבוסס על מחקר.</w:t>
      </w:r>
    </w:p>
    <w:p w:rsidR="00A91CEF" w:rsidRPr="00644D11" w:rsidRDefault="00A91CEF" w:rsidP="00A91CEF">
      <w:pPr>
        <w:spacing w:line="360" w:lineRule="auto"/>
        <w:rPr>
          <w:rFonts w:asciiTheme="minorBidi" w:hAnsiTheme="minorBidi"/>
          <w:sz w:val="24"/>
          <w:szCs w:val="24"/>
          <w:rtl/>
        </w:rPr>
      </w:pPr>
      <w:r w:rsidRPr="00644D11">
        <w:rPr>
          <w:rFonts w:asciiTheme="minorBidi" w:hAnsiTheme="minorBidi"/>
          <w:sz w:val="24"/>
          <w:szCs w:val="24"/>
          <w:rtl/>
        </w:rPr>
        <w:lastRenderedPageBreak/>
        <w:t>חלקו השלישי של הקורס יוקדש ל</w:t>
      </w:r>
      <w:r w:rsidRPr="00644D11">
        <w:rPr>
          <w:rFonts w:asciiTheme="minorBidi" w:hAnsiTheme="minorBidi"/>
          <w:sz w:val="24"/>
          <w:szCs w:val="24"/>
          <w:u w:val="single"/>
          <w:rtl/>
        </w:rPr>
        <w:t>הדרכה לכתיבת עבודה אקדמית</w:t>
      </w:r>
      <w:r w:rsidRPr="00644D11">
        <w:rPr>
          <w:rFonts w:asciiTheme="minorBidi" w:hAnsiTheme="minorBidi"/>
          <w:sz w:val="24"/>
          <w:szCs w:val="24"/>
          <w:rtl/>
        </w:rPr>
        <w:t>, למן בחירת הנושא, דרך חיפוש החומר, קריאתו, ארגונו, בניית שלד והכנת ראשי פרקים וכלה בכתיבת טיוטא ועבודה סופית.</w:t>
      </w:r>
    </w:p>
    <w:p w:rsidR="00023305" w:rsidRPr="00644D11" w:rsidRDefault="00023305" w:rsidP="000233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sz w:val="24"/>
          <w:szCs w:val="24"/>
          <w:u w:val="single"/>
          <w:rtl/>
        </w:rPr>
      </w:pPr>
      <w:r w:rsidRPr="00644D11">
        <w:rPr>
          <w:rFonts w:asciiTheme="minorBidi" w:hAnsiTheme="minorBidi"/>
          <w:b/>
          <w:bCs/>
          <w:color w:val="000000"/>
          <w:sz w:val="24"/>
          <w:szCs w:val="24"/>
          <w:u w:val="single"/>
          <w:rtl/>
        </w:rPr>
        <w:t xml:space="preserve">תוצרי למידה: </w:t>
      </w:r>
    </w:p>
    <w:p w:rsidR="00023305" w:rsidRPr="00644D11" w:rsidRDefault="00023305" w:rsidP="000233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sz w:val="24"/>
          <w:szCs w:val="24"/>
          <w:u w:val="single"/>
          <w:rtl/>
        </w:rPr>
      </w:pPr>
      <w:r w:rsidRPr="00644D11">
        <w:rPr>
          <w:rFonts w:asciiTheme="minorBidi" w:hAnsiTheme="minorBidi"/>
          <w:b/>
          <w:bCs/>
          <w:color w:val="000000"/>
          <w:sz w:val="24"/>
          <w:szCs w:val="24"/>
          <w:u w:val="single"/>
          <w:rtl/>
        </w:rPr>
        <w:t xml:space="preserve">בסיום מוצלח של הקורס הסטודנט/ית יוכל/תוכל: </w:t>
      </w:r>
    </w:p>
    <w:p w:rsidR="008568B2" w:rsidRDefault="00023305" w:rsidP="008568B2">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 xml:space="preserve">הסטודנט/ית </w:t>
      </w:r>
      <w:r w:rsidR="008568B2">
        <w:rPr>
          <w:rFonts w:asciiTheme="minorBidi" w:hAnsiTheme="minorBidi" w:hint="cs"/>
          <w:color w:val="000000"/>
          <w:sz w:val="24"/>
          <w:szCs w:val="24"/>
          <w:rtl/>
        </w:rPr>
        <w:t>י/תכיר מושגי יסוד בתחום המוזיאולוגיה וחקר הלאומיות.</w:t>
      </w:r>
    </w:p>
    <w:p w:rsidR="008568B2" w:rsidRDefault="008568B2" w:rsidP="008568B2">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הסטודנט/ית י/ת</w:t>
      </w:r>
      <w:r>
        <w:rPr>
          <w:rFonts w:asciiTheme="minorBidi" w:hAnsiTheme="minorBidi" w:hint="cs"/>
          <w:color w:val="000000"/>
          <w:sz w:val="24"/>
          <w:szCs w:val="24"/>
          <w:rtl/>
        </w:rPr>
        <w:t>כיר מקרי בוחן מגוונים בהם משמשים מוזיאונים ותערוכות בבהבניית הלאומיות.</w:t>
      </w:r>
    </w:p>
    <w:p w:rsidR="008568B2" w:rsidRDefault="008568B2" w:rsidP="008568B2">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 xml:space="preserve">הסטודנט/ית י/תוכל  </w:t>
      </w:r>
      <w:r w:rsidR="00023305" w:rsidRPr="00644D11">
        <w:rPr>
          <w:rFonts w:asciiTheme="minorBidi" w:hAnsiTheme="minorBidi"/>
          <w:color w:val="000000"/>
          <w:sz w:val="24"/>
          <w:szCs w:val="24"/>
          <w:rtl/>
        </w:rPr>
        <w:t>ל</w:t>
      </w:r>
      <w:r>
        <w:rPr>
          <w:rFonts w:asciiTheme="minorBidi" w:hAnsiTheme="minorBidi" w:hint="cs"/>
          <w:color w:val="000000"/>
          <w:sz w:val="24"/>
          <w:szCs w:val="24"/>
          <w:rtl/>
        </w:rPr>
        <w:t>נתח מאמר אקדמי: להגדיר מתודולגיית מחקר ואת ממצאי המחקר.</w:t>
      </w:r>
    </w:p>
    <w:p w:rsidR="0029326A" w:rsidRDefault="00023305" w:rsidP="008568B2">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 xml:space="preserve"> </w:t>
      </w:r>
      <w:r w:rsidR="008568B2" w:rsidRPr="00644D11">
        <w:rPr>
          <w:rFonts w:asciiTheme="minorBidi" w:hAnsiTheme="minorBidi"/>
          <w:color w:val="000000"/>
          <w:sz w:val="24"/>
          <w:szCs w:val="24"/>
          <w:rtl/>
        </w:rPr>
        <w:t xml:space="preserve">הסטודנט/ית י/תוכל </w:t>
      </w:r>
      <w:r w:rsidR="008568B2">
        <w:rPr>
          <w:rFonts w:asciiTheme="minorBidi" w:hAnsiTheme="minorBidi" w:hint="cs"/>
          <w:color w:val="000000"/>
          <w:sz w:val="24"/>
          <w:szCs w:val="24"/>
          <w:rtl/>
        </w:rPr>
        <w:t xml:space="preserve">להגדיר </w:t>
      </w:r>
      <w:r w:rsidR="0029326A">
        <w:rPr>
          <w:rFonts w:asciiTheme="minorBidi" w:hAnsiTheme="minorBidi" w:hint="cs"/>
          <w:color w:val="000000"/>
          <w:sz w:val="24"/>
          <w:szCs w:val="24"/>
          <w:rtl/>
        </w:rPr>
        <w:t xml:space="preserve"> נושא מחקר ו</w:t>
      </w:r>
      <w:r w:rsidR="008568B2">
        <w:rPr>
          <w:rFonts w:asciiTheme="minorBidi" w:hAnsiTheme="minorBidi" w:hint="cs"/>
          <w:color w:val="000000"/>
          <w:sz w:val="24"/>
          <w:szCs w:val="24"/>
          <w:rtl/>
        </w:rPr>
        <w:t>שאלת מחקר</w:t>
      </w:r>
      <w:r w:rsidR="0029326A">
        <w:rPr>
          <w:rFonts w:asciiTheme="minorBidi" w:hAnsiTheme="minorBidi" w:hint="cs"/>
          <w:color w:val="000000"/>
          <w:sz w:val="24"/>
          <w:szCs w:val="24"/>
          <w:rtl/>
        </w:rPr>
        <w:t xml:space="preserve"> תוך יישום הנלמד בשיעורים</w:t>
      </w:r>
    </w:p>
    <w:p w:rsidR="00023305" w:rsidRDefault="0029326A" w:rsidP="0029326A">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 xml:space="preserve">הסטודנט/ית י/תוכל </w:t>
      </w:r>
      <w:r>
        <w:rPr>
          <w:rFonts w:asciiTheme="minorBidi" w:hAnsiTheme="minorBidi" w:hint="cs"/>
          <w:color w:val="000000"/>
          <w:sz w:val="24"/>
          <w:szCs w:val="24"/>
          <w:rtl/>
        </w:rPr>
        <w:t xml:space="preserve"> לאסוף </w:t>
      </w:r>
      <w:r w:rsidR="00023305" w:rsidRPr="00644D11">
        <w:rPr>
          <w:rFonts w:asciiTheme="minorBidi" w:hAnsiTheme="minorBidi"/>
          <w:color w:val="000000"/>
          <w:sz w:val="24"/>
          <w:szCs w:val="24"/>
          <w:rtl/>
        </w:rPr>
        <w:t xml:space="preserve">חומר אקדמי באופן עצמאי: להגדיר </w:t>
      </w:r>
      <w:r>
        <w:rPr>
          <w:rFonts w:asciiTheme="minorBidi" w:hAnsiTheme="minorBidi" w:hint="cs"/>
          <w:color w:val="000000"/>
          <w:sz w:val="24"/>
          <w:szCs w:val="24"/>
          <w:rtl/>
        </w:rPr>
        <w:t>מלות מפתח, לעשות שימוש מושכל במאגרי מידע, ולמיין חומר אקדמי</w:t>
      </w:r>
      <w:r w:rsidR="00023305" w:rsidRPr="00644D11">
        <w:rPr>
          <w:rFonts w:asciiTheme="minorBidi" w:hAnsiTheme="minorBidi"/>
          <w:color w:val="000000"/>
          <w:sz w:val="24"/>
          <w:szCs w:val="24"/>
          <w:rtl/>
        </w:rPr>
        <w:t xml:space="preserve"> רלוונטי.</w:t>
      </w:r>
    </w:p>
    <w:p w:rsidR="0029326A" w:rsidRPr="00644D11" w:rsidRDefault="0029326A" w:rsidP="0029326A">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הסטודנט/ית י/תהיה מסוגל/ת</w:t>
      </w:r>
      <w:r>
        <w:rPr>
          <w:rFonts w:asciiTheme="minorBidi" w:hAnsiTheme="minorBidi" w:hint="cs"/>
          <w:color w:val="000000"/>
          <w:sz w:val="24"/>
          <w:szCs w:val="24"/>
          <w:rtl/>
        </w:rPr>
        <w:t xml:space="preserve"> להציג </w:t>
      </w:r>
      <w:r w:rsidR="00CD740C">
        <w:rPr>
          <w:rFonts w:asciiTheme="minorBidi" w:hAnsiTheme="minorBidi" w:hint="cs"/>
          <w:color w:val="000000"/>
          <w:sz w:val="24"/>
          <w:szCs w:val="24"/>
          <w:rtl/>
        </w:rPr>
        <w:t xml:space="preserve"> בע"פ </w:t>
      </w:r>
      <w:r>
        <w:rPr>
          <w:rFonts w:asciiTheme="minorBidi" w:hAnsiTheme="minorBidi" w:hint="cs"/>
          <w:color w:val="000000"/>
          <w:sz w:val="24"/>
          <w:szCs w:val="24"/>
          <w:rtl/>
        </w:rPr>
        <w:t>את ממצאי המחקר באופן תמציתי. במסגרת זמן נתונה.</w:t>
      </w:r>
    </w:p>
    <w:p w:rsidR="00023305" w:rsidRPr="00644D11" w:rsidRDefault="00023305" w:rsidP="0029326A">
      <w:pPr>
        <w:pStyle w:val="a9"/>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644D11">
        <w:rPr>
          <w:rFonts w:asciiTheme="minorBidi" w:hAnsiTheme="minorBidi"/>
          <w:color w:val="000000"/>
          <w:sz w:val="24"/>
          <w:szCs w:val="24"/>
          <w:rtl/>
        </w:rPr>
        <w:t>הסטודנט/ית י/תהיה מסוגל/ת  ליישם את הנלמד לשם ייצירת טקסט אקדמי לפי הנהלים המקובלים</w:t>
      </w:r>
      <w:r w:rsidR="0029326A">
        <w:rPr>
          <w:rFonts w:asciiTheme="minorBidi" w:hAnsiTheme="minorBidi" w:hint="cs"/>
          <w:color w:val="000000"/>
          <w:sz w:val="24"/>
          <w:szCs w:val="24"/>
          <w:rtl/>
        </w:rPr>
        <w:t xml:space="preserve"> בכתיבה אקדמית.</w:t>
      </w:r>
    </w:p>
    <w:p w:rsidR="00023305" w:rsidRPr="00644D11" w:rsidRDefault="00023305" w:rsidP="00023305">
      <w:pPr>
        <w:pStyle w:val="a9"/>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ind w:left="360"/>
        <w:jc w:val="both"/>
        <w:rPr>
          <w:rFonts w:asciiTheme="minorBidi" w:hAnsiTheme="minorBidi"/>
          <w:color w:val="000000"/>
          <w:sz w:val="24"/>
          <w:szCs w:val="24"/>
        </w:rPr>
      </w:pPr>
    </w:p>
    <w:p w:rsidR="0029326A" w:rsidRPr="00644D11" w:rsidRDefault="0029326A" w:rsidP="00F12420">
      <w:pPr>
        <w:spacing w:after="0" w:line="360" w:lineRule="auto"/>
        <w:jc w:val="both"/>
        <w:rPr>
          <w:rFonts w:asciiTheme="minorBidi" w:hAnsiTheme="minorBidi"/>
          <w:sz w:val="24"/>
          <w:szCs w:val="24"/>
          <w:rtl/>
        </w:rPr>
      </w:pPr>
    </w:p>
    <w:p w:rsidR="00D02052" w:rsidRPr="00644D11" w:rsidRDefault="00D02052" w:rsidP="00D02052">
      <w:pPr>
        <w:spacing w:after="0" w:line="360" w:lineRule="auto"/>
        <w:jc w:val="both"/>
        <w:rPr>
          <w:rFonts w:asciiTheme="minorBidi" w:eastAsia="Calibri" w:hAnsiTheme="minorBidi"/>
          <w:sz w:val="24"/>
          <w:szCs w:val="24"/>
          <w:rtl/>
        </w:rPr>
      </w:pPr>
      <w:r w:rsidRPr="00644D11">
        <w:rPr>
          <w:rFonts w:asciiTheme="minorBidi" w:eastAsia="Calibri" w:hAnsiTheme="minorBidi"/>
          <w:b/>
          <w:bCs/>
          <w:sz w:val="24"/>
          <w:szCs w:val="24"/>
          <w:u w:val="single"/>
          <w:rtl/>
        </w:rPr>
        <w:t>מהלך הקורס על פי מפגשים:</w:t>
      </w:r>
      <w:r w:rsidRPr="00644D11">
        <w:rPr>
          <w:rFonts w:asciiTheme="minorBidi" w:eastAsia="Calibri" w:hAnsiTheme="minorBidi"/>
          <w:sz w:val="24"/>
          <w:szCs w:val="24"/>
          <w:rtl/>
        </w:rPr>
        <w:t xml:space="preserve"> </w:t>
      </w:r>
    </w:p>
    <w:p w:rsidR="00D02052" w:rsidRPr="00644D11" w:rsidRDefault="00F12420" w:rsidP="00D02052">
      <w:pPr>
        <w:spacing w:after="0" w:line="360" w:lineRule="auto"/>
        <w:jc w:val="both"/>
        <w:rPr>
          <w:rFonts w:asciiTheme="minorBidi" w:eastAsia="Calibri" w:hAnsiTheme="minorBidi"/>
          <w:b/>
          <w:bCs/>
          <w:color w:val="000000"/>
          <w:sz w:val="24"/>
          <w:szCs w:val="24"/>
          <w:rtl/>
        </w:rPr>
      </w:pPr>
      <w:r w:rsidRPr="00644D11">
        <w:rPr>
          <w:rFonts w:asciiTheme="minorBidi" w:eastAsia="Calibri" w:hAnsiTheme="minorBidi"/>
          <w:b/>
          <w:bCs/>
          <w:color w:val="000000"/>
          <w:sz w:val="24"/>
          <w:szCs w:val="24"/>
          <w:rtl/>
        </w:rPr>
        <w:t>סמסטר א</w:t>
      </w:r>
    </w:p>
    <w:p w:rsidR="00F12420" w:rsidRPr="00644D11" w:rsidRDefault="00F12420" w:rsidP="00D02052">
      <w:pPr>
        <w:spacing w:after="0" w:line="360" w:lineRule="auto"/>
        <w:jc w:val="both"/>
        <w:rPr>
          <w:rFonts w:asciiTheme="minorBidi" w:eastAsia="Calibri" w:hAnsiTheme="minorBidi"/>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480"/>
      </w:tblGrid>
      <w:tr w:rsidR="00D02052" w:rsidRPr="00644D11" w:rsidTr="00D02052">
        <w:tc>
          <w:tcPr>
            <w:tcW w:w="709" w:type="dxa"/>
            <w:shd w:val="clear" w:color="auto" w:fill="D9D9D9"/>
          </w:tcPr>
          <w:p w:rsidR="00D02052" w:rsidRPr="00644D11" w:rsidRDefault="00D02052" w:rsidP="00D02052">
            <w:pPr>
              <w:tabs>
                <w:tab w:val="left" w:pos="985"/>
              </w:tabs>
              <w:spacing w:after="0" w:line="360" w:lineRule="auto"/>
              <w:jc w:val="both"/>
              <w:rPr>
                <w:rFonts w:asciiTheme="minorBidi" w:eastAsia="Calibri" w:hAnsiTheme="minorBidi"/>
                <w:sz w:val="24"/>
                <w:szCs w:val="24"/>
                <w:u w:val="single"/>
                <w:rtl/>
              </w:rPr>
            </w:pPr>
            <w:r w:rsidRPr="00644D11">
              <w:rPr>
                <w:rFonts w:asciiTheme="minorBidi" w:eastAsia="Calibri" w:hAnsiTheme="minorBidi"/>
                <w:sz w:val="24"/>
                <w:szCs w:val="24"/>
                <w:u w:val="single"/>
                <w:rtl/>
              </w:rPr>
              <w:t>מפגש</w:t>
            </w:r>
          </w:p>
        </w:tc>
        <w:tc>
          <w:tcPr>
            <w:tcW w:w="7480" w:type="dxa"/>
            <w:shd w:val="clear" w:color="auto" w:fill="D9D9D9"/>
          </w:tcPr>
          <w:p w:rsidR="00D02052" w:rsidRPr="00644D11" w:rsidRDefault="00D02052" w:rsidP="00D02052">
            <w:pPr>
              <w:spacing w:after="0" w:line="360" w:lineRule="auto"/>
              <w:jc w:val="both"/>
              <w:rPr>
                <w:rFonts w:asciiTheme="minorBidi" w:eastAsia="Calibri" w:hAnsiTheme="minorBidi"/>
                <w:sz w:val="24"/>
                <w:szCs w:val="24"/>
                <w:u w:val="single"/>
                <w:rtl/>
              </w:rPr>
            </w:pPr>
            <w:r w:rsidRPr="00644D11">
              <w:rPr>
                <w:rFonts w:asciiTheme="minorBidi" w:eastAsia="Calibri" w:hAnsiTheme="minorBidi"/>
                <w:sz w:val="24"/>
                <w:szCs w:val="24"/>
                <w:u w:val="single"/>
                <w:rtl/>
              </w:rPr>
              <w:t>נושא</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1</w:t>
            </w:r>
          </w:p>
        </w:tc>
        <w:tc>
          <w:tcPr>
            <w:tcW w:w="7480" w:type="dxa"/>
            <w:shd w:val="clear" w:color="auto" w:fill="auto"/>
          </w:tcPr>
          <w:p w:rsidR="00D02052" w:rsidRPr="00644D11" w:rsidRDefault="00B43255" w:rsidP="00B43255">
            <w:pPr>
              <w:spacing w:line="360" w:lineRule="auto"/>
              <w:rPr>
                <w:rFonts w:asciiTheme="minorBidi" w:eastAsia="Calibri" w:hAnsiTheme="minorBidi"/>
                <w:sz w:val="24"/>
                <w:szCs w:val="24"/>
                <w:rtl/>
              </w:rPr>
            </w:pPr>
            <w:r w:rsidRPr="00644D11">
              <w:rPr>
                <w:rFonts w:asciiTheme="minorBidi" w:eastAsia="Calibri" w:hAnsiTheme="minorBidi"/>
                <w:sz w:val="24"/>
                <w:szCs w:val="24"/>
                <w:rtl/>
              </w:rPr>
              <w:t>הגדרות: מוזיאון ולאומיות</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2</w:t>
            </w:r>
          </w:p>
        </w:tc>
        <w:tc>
          <w:tcPr>
            <w:tcW w:w="7480" w:type="dxa"/>
            <w:shd w:val="clear" w:color="auto" w:fill="auto"/>
          </w:tcPr>
          <w:p w:rsidR="00D02052" w:rsidRPr="00644D11" w:rsidRDefault="00D02052" w:rsidP="00D02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hAnsiTheme="minorBidi"/>
                <w:sz w:val="24"/>
                <w:szCs w:val="24"/>
                <w:rtl/>
              </w:rPr>
              <w:t>על עתיקותה של האומה – היסטוריה וארכיאולוגיה</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3</w:t>
            </w:r>
          </w:p>
        </w:tc>
        <w:tc>
          <w:tcPr>
            <w:tcW w:w="7480" w:type="dxa"/>
            <w:shd w:val="clear" w:color="auto" w:fill="auto"/>
          </w:tcPr>
          <w:p w:rsidR="00D02052" w:rsidRPr="00644D11" w:rsidRDefault="00B43255" w:rsidP="00D02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 xml:space="preserve">   -"-</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4</w:t>
            </w:r>
          </w:p>
        </w:tc>
        <w:tc>
          <w:tcPr>
            <w:tcW w:w="7480" w:type="dxa"/>
            <w:shd w:val="clear" w:color="auto" w:fill="auto"/>
          </w:tcPr>
          <w:p w:rsidR="00D02052" w:rsidRPr="0029326A" w:rsidRDefault="00D02052" w:rsidP="00D02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29326A">
              <w:rPr>
                <w:rFonts w:asciiTheme="minorBidi" w:hAnsiTheme="minorBidi"/>
                <w:sz w:val="24"/>
                <w:szCs w:val="24"/>
                <w:rtl/>
              </w:rPr>
              <w:t>ניכוס</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5</w:t>
            </w:r>
          </w:p>
        </w:tc>
        <w:tc>
          <w:tcPr>
            <w:tcW w:w="7480" w:type="dxa"/>
            <w:shd w:val="clear" w:color="auto" w:fill="auto"/>
          </w:tcPr>
          <w:p w:rsidR="00D02052" w:rsidRPr="00644D11" w:rsidRDefault="00F12420" w:rsidP="00D02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ניתוח מאמר</w:t>
            </w:r>
            <w:r w:rsidR="00B43255" w:rsidRPr="00644D11">
              <w:rPr>
                <w:rFonts w:asciiTheme="minorBidi" w:eastAsia="Calibri" w:hAnsiTheme="minorBidi"/>
                <w:sz w:val="24"/>
                <w:szCs w:val="24"/>
                <w:rtl/>
              </w:rPr>
              <w:t xml:space="preserve"> </w:t>
            </w:r>
            <w:r w:rsidR="00B43255" w:rsidRPr="00644D11">
              <w:rPr>
                <w:rFonts w:asciiTheme="minorBidi" w:eastAsia="Calibri" w:hAnsiTheme="minorBidi"/>
                <w:sz w:val="24"/>
                <w:szCs w:val="24"/>
              </w:rPr>
              <w:t>I</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6</w:t>
            </w:r>
          </w:p>
        </w:tc>
        <w:tc>
          <w:tcPr>
            <w:tcW w:w="7480" w:type="dxa"/>
            <w:shd w:val="clear" w:color="auto" w:fill="auto"/>
          </w:tcPr>
          <w:p w:rsidR="00D02052" w:rsidRPr="00644D11" w:rsidRDefault="00F12420" w:rsidP="00F12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ניכוס הטבע</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7</w:t>
            </w:r>
          </w:p>
        </w:tc>
        <w:tc>
          <w:tcPr>
            <w:tcW w:w="7480" w:type="dxa"/>
            <w:shd w:val="clear" w:color="auto" w:fill="auto"/>
          </w:tcPr>
          <w:p w:rsidR="00D02052" w:rsidRPr="00644D11" w:rsidRDefault="00F12420" w:rsidP="00F12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תערוכות עולמיות</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8</w:t>
            </w:r>
          </w:p>
        </w:tc>
        <w:tc>
          <w:tcPr>
            <w:tcW w:w="7480" w:type="dxa"/>
            <w:shd w:val="clear" w:color="auto" w:fill="auto"/>
          </w:tcPr>
          <w:p w:rsidR="00D02052" w:rsidRPr="00644D11" w:rsidRDefault="00F12420" w:rsidP="00D02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Pr>
            </w:pPr>
            <w:r w:rsidRPr="00644D11">
              <w:rPr>
                <w:rFonts w:asciiTheme="minorBidi" w:eastAsia="Calibri" w:hAnsiTheme="minorBidi"/>
                <w:sz w:val="24"/>
                <w:szCs w:val="24"/>
                <w:rtl/>
              </w:rPr>
              <w:t xml:space="preserve"> </w:t>
            </w:r>
            <w:r w:rsidR="0029326A">
              <w:rPr>
                <w:rFonts w:asciiTheme="minorBidi" w:eastAsia="Calibri" w:hAnsiTheme="minorBidi" w:hint="cs"/>
                <w:sz w:val="24"/>
                <w:szCs w:val="24"/>
                <w:rtl/>
              </w:rPr>
              <w:t>מיומנות שימוש ב</w:t>
            </w:r>
            <w:r w:rsidRPr="00644D11">
              <w:rPr>
                <w:rFonts w:asciiTheme="minorBidi" w:eastAsia="Calibri" w:hAnsiTheme="minorBidi"/>
                <w:sz w:val="24"/>
                <w:szCs w:val="24"/>
                <w:rtl/>
              </w:rPr>
              <w:t>מאגרי מידע - שיעור ספריה</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9</w:t>
            </w:r>
          </w:p>
        </w:tc>
        <w:tc>
          <w:tcPr>
            <w:tcW w:w="7480" w:type="dxa"/>
            <w:shd w:val="clear" w:color="auto" w:fill="auto"/>
          </w:tcPr>
          <w:p w:rsidR="00D02052" w:rsidRPr="00644D11" w:rsidRDefault="00F12420" w:rsidP="00F12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קולוניאליזם והמוזיאון הלאומי</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lastRenderedPageBreak/>
              <w:t>10</w:t>
            </w:r>
          </w:p>
        </w:tc>
        <w:tc>
          <w:tcPr>
            <w:tcW w:w="7480" w:type="dxa"/>
            <w:shd w:val="clear" w:color="auto" w:fill="auto"/>
          </w:tcPr>
          <w:p w:rsidR="00D02052" w:rsidRPr="00644D11" w:rsidRDefault="00F12420" w:rsidP="00F12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 xml:space="preserve">ניתוח מאמר </w:t>
            </w:r>
            <w:r w:rsidRPr="00644D11">
              <w:rPr>
                <w:rFonts w:asciiTheme="minorBidi" w:eastAsia="Calibri" w:hAnsiTheme="minorBidi"/>
                <w:sz w:val="24"/>
                <w:szCs w:val="24"/>
              </w:rPr>
              <w:t>II</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11</w:t>
            </w:r>
          </w:p>
        </w:tc>
        <w:tc>
          <w:tcPr>
            <w:tcW w:w="7480" w:type="dxa"/>
            <w:shd w:val="clear" w:color="auto" w:fill="auto"/>
          </w:tcPr>
          <w:p w:rsidR="00D02052" w:rsidRPr="00644D11" w:rsidRDefault="00F12420" w:rsidP="00B43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הגיבור הלאומי במוזיאון</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12</w:t>
            </w:r>
          </w:p>
        </w:tc>
        <w:tc>
          <w:tcPr>
            <w:tcW w:w="7480" w:type="dxa"/>
            <w:shd w:val="clear" w:color="auto" w:fill="auto"/>
          </w:tcPr>
          <w:p w:rsidR="00D02052" w:rsidRPr="00644D11" w:rsidRDefault="00F12420" w:rsidP="00B432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 xml:space="preserve">הגיבור העממי </w:t>
            </w:r>
            <w:r w:rsidR="0029326A">
              <w:rPr>
                <w:rFonts w:asciiTheme="minorBidi" w:eastAsia="Calibri" w:hAnsiTheme="minorBidi" w:hint="cs"/>
                <w:sz w:val="24"/>
                <w:szCs w:val="24"/>
                <w:rtl/>
              </w:rPr>
              <w:t xml:space="preserve">(ה"גנרי") </w:t>
            </w:r>
            <w:r w:rsidRPr="00644D11">
              <w:rPr>
                <w:rFonts w:asciiTheme="minorBidi" w:eastAsia="Calibri" w:hAnsiTheme="minorBidi"/>
                <w:sz w:val="24"/>
                <w:szCs w:val="24"/>
                <w:rtl/>
              </w:rPr>
              <w:t>במוזיאון</w:t>
            </w:r>
          </w:p>
        </w:tc>
      </w:tr>
      <w:tr w:rsidR="00D02052" w:rsidRPr="00644D11" w:rsidTr="00D02052">
        <w:tc>
          <w:tcPr>
            <w:tcW w:w="709" w:type="dxa"/>
            <w:shd w:val="clear" w:color="auto" w:fill="auto"/>
          </w:tcPr>
          <w:p w:rsidR="00D02052" w:rsidRPr="00644D11" w:rsidRDefault="00D02052" w:rsidP="00D02052">
            <w:pPr>
              <w:spacing w:after="0" w:line="360" w:lineRule="auto"/>
              <w:rPr>
                <w:rFonts w:asciiTheme="minorBidi" w:eastAsia="Calibri" w:hAnsiTheme="minorBidi"/>
                <w:sz w:val="24"/>
                <w:szCs w:val="24"/>
                <w:rtl/>
              </w:rPr>
            </w:pPr>
            <w:r w:rsidRPr="00644D11">
              <w:rPr>
                <w:rFonts w:asciiTheme="minorBidi" w:eastAsia="Calibri" w:hAnsiTheme="minorBidi"/>
                <w:sz w:val="24"/>
                <w:szCs w:val="24"/>
                <w:rtl/>
              </w:rPr>
              <w:t>13</w:t>
            </w:r>
          </w:p>
        </w:tc>
        <w:tc>
          <w:tcPr>
            <w:tcW w:w="7480" w:type="dxa"/>
            <w:shd w:val="clear" w:color="auto" w:fill="auto"/>
          </w:tcPr>
          <w:p w:rsidR="00D02052" w:rsidRPr="00644D11" w:rsidRDefault="00D02052" w:rsidP="00F12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sz w:val="24"/>
                <w:szCs w:val="24"/>
                <w:rtl/>
              </w:rPr>
            </w:pPr>
            <w:r w:rsidRPr="00644D11">
              <w:rPr>
                <w:rFonts w:asciiTheme="minorBidi" w:eastAsia="Calibri" w:hAnsiTheme="minorBidi"/>
                <w:sz w:val="24"/>
                <w:szCs w:val="24"/>
                <w:rtl/>
              </w:rPr>
              <w:t xml:space="preserve"> </w:t>
            </w:r>
            <w:r w:rsidR="00F12420" w:rsidRPr="00644D11">
              <w:rPr>
                <w:rFonts w:asciiTheme="minorBidi" w:eastAsia="Calibri" w:hAnsiTheme="minorBidi"/>
                <w:sz w:val="24"/>
                <w:szCs w:val="24"/>
                <w:rtl/>
              </w:rPr>
              <w:t>מבנה הצעת המחקר</w:t>
            </w:r>
          </w:p>
        </w:tc>
      </w:tr>
    </w:tbl>
    <w:p w:rsidR="00D02052" w:rsidRPr="00644D11" w:rsidRDefault="00D02052" w:rsidP="00D02052">
      <w:pPr>
        <w:spacing w:after="0" w:line="360" w:lineRule="auto"/>
        <w:jc w:val="both"/>
        <w:rPr>
          <w:rFonts w:asciiTheme="minorBidi" w:hAnsiTheme="minorBidi"/>
          <w:b/>
          <w:bCs/>
          <w:sz w:val="24"/>
          <w:szCs w:val="24"/>
          <w:u w:val="single"/>
          <w:rtl/>
        </w:rPr>
      </w:pPr>
    </w:p>
    <w:p w:rsidR="00F12420" w:rsidRPr="00644D11" w:rsidRDefault="00F12420" w:rsidP="00D02052">
      <w:pPr>
        <w:spacing w:after="0" w:line="360" w:lineRule="auto"/>
        <w:jc w:val="both"/>
        <w:rPr>
          <w:rFonts w:asciiTheme="minorBidi" w:hAnsiTheme="minorBidi"/>
          <w:b/>
          <w:bCs/>
          <w:sz w:val="24"/>
          <w:szCs w:val="24"/>
          <w:u w:val="single"/>
          <w:rtl/>
        </w:rPr>
      </w:pPr>
      <w:r w:rsidRPr="00644D11">
        <w:rPr>
          <w:rFonts w:asciiTheme="minorBidi" w:hAnsiTheme="minorBidi"/>
          <w:b/>
          <w:bCs/>
          <w:sz w:val="24"/>
          <w:szCs w:val="24"/>
          <w:u w:val="single"/>
          <w:rtl/>
        </w:rPr>
        <w:t>סמסטר ב</w:t>
      </w:r>
    </w:p>
    <w:p w:rsidR="00F12420" w:rsidRPr="00644D11" w:rsidRDefault="00F12420" w:rsidP="00F12420">
      <w:pPr>
        <w:spacing w:after="0" w:line="360" w:lineRule="auto"/>
        <w:jc w:val="both"/>
        <w:rPr>
          <w:rFonts w:asciiTheme="minorBidi" w:hAnsiTheme="minorBidi"/>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661"/>
      </w:tblGrid>
      <w:tr w:rsidR="00F12420" w:rsidRPr="00644D11" w:rsidTr="00015DCC">
        <w:tc>
          <w:tcPr>
            <w:tcW w:w="709" w:type="dxa"/>
            <w:shd w:val="clear" w:color="auto" w:fill="D9D9D9" w:themeFill="background1" w:themeFillShade="D9"/>
          </w:tcPr>
          <w:p w:rsidR="00F12420" w:rsidRPr="00644D11" w:rsidRDefault="00F12420" w:rsidP="00015DCC">
            <w:pPr>
              <w:tabs>
                <w:tab w:val="left" w:pos="985"/>
              </w:tabs>
              <w:spacing w:after="0" w:line="360" w:lineRule="auto"/>
              <w:jc w:val="both"/>
              <w:rPr>
                <w:rFonts w:asciiTheme="minorBidi" w:hAnsiTheme="minorBidi"/>
                <w:sz w:val="24"/>
                <w:szCs w:val="24"/>
                <w:u w:val="single"/>
                <w:rtl/>
              </w:rPr>
            </w:pPr>
            <w:r w:rsidRPr="00644D11">
              <w:rPr>
                <w:rFonts w:asciiTheme="minorBidi" w:hAnsiTheme="minorBidi"/>
                <w:sz w:val="24"/>
                <w:szCs w:val="24"/>
                <w:u w:val="single"/>
                <w:rtl/>
              </w:rPr>
              <w:t>מפגש</w:t>
            </w:r>
          </w:p>
        </w:tc>
        <w:tc>
          <w:tcPr>
            <w:tcW w:w="9001" w:type="dxa"/>
            <w:shd w:val="clear" w:color="auto" w:fill="D9D9D9" w:themeFill="background1" w:themeFillShade="D9"/>
          </w:tcPr>
          <w:p w:rsidR="00F12420" w:rsidRPr="00644D11" w:rsidRDefault="00F12420" w:rsidP="00015DCC">
            <w:pPr>
              <w:spacing w:after="0" w:line="360" w:lineRule="auto"/>
              <w:jc w:val="both"/>
              <w:rPr>
                <w:rFonts w:asciiTheme="minorBidi" w:hAnsiTheme="minorBidi"/>
                <w:sz w:val="24"/>
                <w:szCs w:val="24"/>
                <w:u w:val="single"/>
                <w:rtl/>
              </w:rPr>
            </w:pPr>
            <w:r w:rsidRPr="00644D11">
              <w:rPr>
                <w:rFonts w:asciiTheme="minorBidi" w:hAnsiTheme="minorBidi"/>
                <w:sz w:val="24"/>
                <w:szCs w:val="24"/>
                <w:u w:val="single"/>
                <w:rtl/>
              </w:rPr>
              <w:t>נושא</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1</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טראומה לאומית, קורבנות ומוזיאון</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2</w:t>
            </w:r>
          </w:p>
        </w:tc>
        <w:tc>
          <w:tcPr>
            <w:tcW w:w="9001" w:type="dxa"/>
            <w:shd w:val="clear" w:color="auto" w:fill="auto"/>
          </w:tcPr>
          <w:p w:rsidR="00F12420" w:rsidRPr="00644D11" w:rsidRDefault="00F12420" w:rsidP="00F124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3</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 </w:t>
            </w:r>
            <w:r w:rsidR="00B43255" w:rsidRPr="00644D11">
              <w:rPr>
                <w:rFonts w:asciiTheme="minorBidi" w:hAnsiTheme="minorBidi"/>
                <w:sz w:val="24"/>
                <w:szCs w:val="24"/>
                <w:rtl/>
              </w:rPr>
              <w:t xml:space="preserve"> </w:t>
            </w:r>
            <w:r w:rsidRPr="00644D11">
              <w:rPr>
                <w:rFonts w:asciiTheme="minorBidi" w:hAnsiTheme="minorBidi"/>
                <w:sz w:val="24"/>
                <w:szCs w:val="24"/>
                <w:rtl/>
              </w:rPr>
              <w:t xml:space="preserve">ניתוח מאמר </w:t>
            </w:r>
            <w:r w:rsidRPr="00644D11">
              <w:rPr>
                <w:rFonts w:asciiTheme="minorBidi" w:hAnsiTheme="minorBidi"/>
                <w:sz w:val="24"/>
                <w:szCs w:val="24"/>
              </w:rPr>
              <w:t>III</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4</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eastAsia="Calibri" w:hAnsiTheme="minorBidi"/>
                <w:sz w:val="24"/>
                <w:szCs w:val="24"/>
                <w:rtl/>
              </w:rPr>
              <w:t>אמנות מגוייסת</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5</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6</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eastAsia="Calibri" w:hAnsiTheme="minorBidi"/>
                <w:sz w:val="24"/>
                <w:szCs w:val="24"/>
                <w:rtl/>
              </w:rPr>
              <w:t>לאומית ישראלית, לאומיות פלסטינית והמוזיאון</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7</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8</w:t>
            </w:r>
          </w:p>
        </w:tc>
        <w:tc>
          <w:tcPr>
            <w:tcW w:w="9001" w:type="dxa"/>
            <w:shd w:val="clear" w:color="auto" w:fill="auto"/>
          </w:tcPr>
          <w:p w:rsidR="00F12420" w:rsidRPr="00644D11" w:rsidRDefault="00F12420"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644D11">
              <w:rPr>
                <w:rFonts w:asciiTheme="minorBidi" w:hAnsiTheme="minorBidi"/>
                <w:sz w:val="24"/>
                <w:szCs w:val="24"/>
                <w:rtl/>
              </w:rPr>
              <w:t xml:space="preserve">   -"-</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9</w:t>
            </w:r>
          </w:p>
        </w:tc>
        <w:tc>
          <w:tcPr>
            <w:tcW w:w="9001" w:type="dxa"/>
            <w:shd w:val="clear" w:color="auto" w:fill="auto"/>
          </w:tcPr>
          <w:p w:rsidR="00F12420" w:rsidRPr="00644D11" w:rsidRDefault="00B43255"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הנחיות לקראת הגשת רפרטים</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10</w:t>
            </w:r>
          </w:p>
        </w:tc>
        <w:tc>
          <w:tcPr>
            <w:tcW w:w="9001" w:type="dxa"/>
            <w:shd w:val="clear" w:color="auto" w:fill="auto"/>
          </w:tcPr>
          <w:p w:rsidR="00F12420" w:rsidRPr="00644D11" w:rsidRDefault="00B43255"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רפרטים</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11</w:t>
            </w:r>
          </w:p>
        </w:tc>
        <w:tc>
          <w:tcPr>
            <w:tcW w:w="9001" w:type="dxa"/>
            <w:shd w:val="clear" w:color="auto" w:fill="auto"/>
          </w:tcPr>
          <w:p w:rsidR="00F12420" w:rsidRPr="00644D11" w:rsidRDefault="00B43255"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12</w:t>
            </w:r>
          </w:p>
        </w:tc>
        <w:tc>
          <w:tcPr>
            <w:tcW w:w="9001" w:type="dxa"/>
            <w:shd w:val="clear" w:color="auto" w:fill="auto"/>
          </w:tcPr>
          <w:p w:rsidR="00F12420" w:rsidRPr="00644D11" w:rsidRDefault="00B43255"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w:t>
            </w:r>
          </w:p>
        </w:tc>
      </w:tr>
      <w:tr w:rsidR="00F12420" w:rsidRPr="00644D11" w:rsidTr="00015DCC">
        <w:tc>
          <w:tcPr>
            <w:tcW w:w="709" w:type="dxa"/>
            <w:shd w:val="clear" w:color="auto" w:fill="auto"/>
          </w:tcPr>
          <w:p w:rsidR="00F12420" w:rsidRPr="00644D11" w:rsidRDefault="00F12420" w:rsidP="00015DCC">
            <w:pPr>
              <w:spacing w:after="0" w:line="360" w:lineRule="auto"/>
              <w:rPr>
                <w:rFonts w:asciiTheme="minorBidi" w:hAnsiTheme="minorBidi"/>
                <w:sz w:val="24"/>
                <w:szCs w:val="24"/>
                <w:rtl/>
              </w:rPr>
            </w:pPr>
            <w:r w:rsidRPr="00644D11">
              <w:rPr>
                <w:rFonts w:asciiTheme="minorBidi" w:hAnsiTheme="minorBidi"/>
                <w:sz w:val="24"/>
                <w:szCs w:val="24"/>
                <w:rtl/>
              </w:rPr>
              <w:t>13</w:t>
            </w:r>
          </w:p>
        </w:tc>
        <w:tc>
          <w:tcPr>
            <w:tcW w:w="9001" w:type="dxa"/>
            <w:shd w:val="clear" w:color="auto" w:fill="auto"/>
          </w:tcPr>
          <w:p w:rsidR="00F12420" w:rsidRPr="00644D11" w:rsidRDefault="00B43255" w:rsidP="00015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644D11">
              <w:rPr>
                <w:rFonts w:asciiTheme="minorBidi" w:hAnsiTheme="minorBidi"/>
                <w:sz w:val="24"/>
                <w:szCs w:val="24"/>
                <w:rtl/>
              </w:rPr>
              <w:t xml:space="preserve">  -"-</w:t>
            </w:r>
          </w:p>
        </w:tc>
      </w:tr>
    </w:tbl>
    <w:p w:rsidR="00F12420" w:rsidRDefault="00F12420" w:rsidP="00F12420">
      <w:pPr>
        <w:spacing w:after="0" w:line="360" w:lineRule="auto"/>
        <w:jc w:val="both"/>
        <w:rPr>
          <w:rFonts w:asciiTheme="minorBidi" w:hAnsiTheme="minorBidi"/>
          <w:sz w:val="24"/>
          <w:szCs w:val="24"/>
          <w:rtl/>
        </w:rPr>
      </w:pPr>
    </w:p>
    <w:p w:rsidR="0029326A" w:rsidRPr="00644D11" w:rsidRDefault="0029326A" w:rsidP="0029326A">
      <w:pPr>
        <w:spacing w:after="0" w:line="360" w:lineRule="auto"/>
        <w:jc w:val="both"/>
        <w:rPr>
          <w:rFonts w:asciiTheme="minorBidi" w:hAnsiTheme="minorBidi"/>
          <w:b/>
          <w:bCs/>
          <w:sz w:val="24"/>
          <w:szCs w:val="24"/>
          <w:rtl/>
        </w:rPr>
      </w:pPr>
      <w:r w:rsidRPr="00644D11">
        <w:rPr>
          <w:rFonts w:asciiTheme="minorBidi" w:hAnsiTheme="minorBidi"/>
          <w:b/>
          <w:bCs/>
          <w:sz w:val="24"/>
          <w:szCs w:val="24"/>
          <w:u w:val="single"/>
          <w:rtl/>
        </w:rPr>
        <w:t>נהלי נוכחות</w:t>
      </w:r>
      <w:r w:rsidRPr="00644D11">
        <w:rPr>
          <w:rFonts w:asciiTheme="minorBidi" w:hAnsiTheme="minorBidi"/>
          <w:sz w:val="24"/>
          <w:szCs w:val="24"/>
          <w:rtl/>
        </w:rPr>
        <w:t xml:space="preserve">:  נוכחות חובה. </w:t>
      </w:r>
      <w:r>
        <w:rPr>
          <w:rFonts w:asciiTheme="minorBidi" w:hAnsiTheme="minorBidi" w:hint="cs"/>
          <w:sz w:val="24"/>
          <w:szCs w:val="24"/>
          <w:rtl/>
        </w:rPr>
        <w:t>(</w:t>
      </w:r>
      <w:r w:rsidRPr="00644D11">
        <w:rPr>
          <w:rFonts w:asciiTheme="minorBidi" w:hAnsiTheme="minorBidi"/>
          <w:sz w:val="24"/>
          <w:szCs w:val="24"/>
          <w:rtl/>
        </w:rPr>
        <w:t>לפי הנוהל מותר לסטודנט להעדר עד שלוש פעמים בכל סמסטר</w:t>
      </w:r>
      <w:r>
        <w:rPr>
          <w:rFonts w:asciiTheme="minorBidi" w:hAnsiTheme="minorBidi" w:hint="cs"/>
          <w:sz w:val="24"/>
          <w:szCs w:val="24"/>
          <w:rtl/>
        </w:rPr>
        <w:t>)</w:t>
      </w:r>
    </w:p>
    <w:p w:rsidR="0029326A" w:rsidRPr="00644D11" w:rsidRDefault="0029326A" w:rsidP="0029326A">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 xml:space="preserve">שיטת ההוראה: </w:t>
      </w:r>
      <w:r w:rsidRPr="00644D11">
        <w:rPr>
          <w:rFonts w:asciiTheme="minorBidi" w:hAnsiTheme="minorBidi"/>
          <w:sz w:val="24"/>
          <w:szCs w:val="24"/>
          <w:rtl/>
        </w:rPr>
        <w:t xml:space="preserve"> הוראה פרונטאלית, תרגול טקסטים, תרגול חיפוש חומר בספריה ובמאגרי מידע, הנחיה אישית.</w:t>
      </w:r>
    </w:p>
    <w:p w:rsidR="0029326A" w:rsidRPr="00644D11" w:rsidRDefault="0029326A" w:rsidP="0029326A">
      <w:pPr>
        <w:spacing w:after="0" w:line="360" w:lineRule="auto"/>
        <w:jc w:val="both"/>
        <w:rPr>
          <w:rFonts w:asciiTheme="minorBidi" w:hAnsiTheme="minorBidi"/>
          <w:b/>
          <w:bCs/>
          <w:sz w:val="24"/>
          <w:szCs w:val="24"/>
          <w:u w:val="single"/>
          <w:rtl/>
        </w:rPr>
      </w:pPr>
      <w:r w:rsidRPr="00644D11">
        <w:rPr>
          <w:rFonts w:asciiTheme="minorBidi" w:hAnsiTheme="minorBidi"/>
          <w:b/>
          <w:bCs/>
          <w:sz w:val="24"/>
          <w:szCs w:val="24"/>
          <w:u w:val="single"/>
          <w:rtl/>
        </w:rPr>
        <w:t xml:space="preserve">מטלות הסטודנטים/יות במהלך הקורס: </w:t>
      </w:r>
    </w:p>
    <w:p w:rsidR="0029326A" w:rsidRPr="0029326A" w:rsidRDefault="0029326A" w:rsidP="0029326A">
      <w:pPr>
        <w:spacing w:after="0" w:line="360" w:lineRule="auto"/>
        <w:jc w:val="both"/>
        <w:rPr>
          <w:rFonts w:asciiTheme="minorBidi" w:hAnsiTheme="minorBidi"/>
          <w:sz w:val="24"/>
          <w:szCs w:val="24"/>
          <w:rtl/>
        </w:rPr>
      </w:pPr>
      <w:r w:rsidRPr="0029326A">
        <w:rPr>
          <w:rFonts w:asciiTheme="minorBidi" w:hAnsiTheme="minorBidi"/>
          <w:sz w:val="24"/>
          <w:szCs w:val="24"/>
          <w:rtl/>
        </w:rPr>
        <w:t>ניתוח טקסטים</w:t>
      </w:r>
    </w:p>
    <w:p w:rsidR="0029326A" w:rsidRPr="0029326A" w:rsidRDefault="0029326A" w:rsidP="0029326A">
      <w:pPr>
        <w:spacing w:after="0" w:line="360" w:lineRule="auto"/>
        <w:jc w:val="both"/>
        <w:rPr>
          <w:rFonts w:asciiTheme="minorBidi" w:hAnsiTheme="minorBidi"/>
          <w:sz w:val="24"/>
          <w:szCs w:val="24"/>
          <w:rtl/>
        </w:rPr>
      </w:pPr>
      <w:r w:rsidRPr="0029326A">
        <w:rPr>
          <w:rFonts w:asciiTheme="minorBidi" w:hAnsiTheme="minorBidi"/>
          <w:sz w:val="24"/>
          <w:szCs w:val="24"/>
          <w:rtl/>
        </w:rPr>
        <w:t>הגשת הצעת מחקר</w:t>
      </w:r>
    </w:p>
    <w:p w:rsidR="0029326A" w:rsidRPr="0029326A" w:rsidRDefault="0029326A" w:rsidP="0029326A">
      <w:pPr>
        <w:spacing w:after="0" w:line="360" w:lineRule="auto"/>
        <w:jc w:val="both"/>
        <w:rPr>
          <w:rFonts w:asciiTheme="minorBidi" w:hAnsiTheme="minorBidi"/>
          <w:sz w:val="24"/>
          <w:szCs w:val="24"/>
          <w:rtl/>
        </w:rPr>
      </w:pPr>
      <w:r w:rsidRPr="0029326A">
        <w:rPr>
          <w:rFonts w:asciiTheme="minorBidi" w:hAnsiTheme="minorBidi"/>
          <w:sz w:val="24"/>
          <w:szCs w:val="24"/>
          <w:rtl/>
        </w:rPr>
        <w:t>הצגת רפרט בע"פ</w:t>
      </w:r>
    </w:p>
    <w:p w:rsidR="0029326A" w:rsidRDefault="0029326A" w:rsidP="0029326A">
      <w:pPr>
        <w:spacing w:after="0" w:line="360" w:lineRule="auto"/>
        <w:jc w:val="both"/>
        <w:rPr>
          <w:rFonts w:asciiTheme="minorBidi" w:hAnsiTheme="minorBidi"/>
          <w:b/>
          <w:bCs/>
          <w:sz w:val="24"/>
          <w:szCs w:val="24"/>
          <w:u w:val="single"/>
          <w:rtl/>
        </w:rPr>
      </w:pPr>
      <w:r w:rsidRPr="0029326A">
        <w:rPr>
          <w:rFonts w:asciiTheme="minorBidi" w:hAnsiTheme="minorBidi"/>
          <w:sz w:val="24"/>
          <w:szCs w:val="24"/>
          <w:rtl/>
        </w:rPr>
        <w:t>הגשת עבודה כתובה</w:t>
      </w:r>
    </w:p>
    <w:p w:rsidR="0029326A" w:rsidRPr="00644D11" w:rsidRDefault="0029326A" w:rsidP="0029326A">
      <w:pPr>
        <w:spacing w:after="0" w:line="360" w:lineRule="auto"/>
        <w:jc w:val="both"/>
        <w:rPr>
          <w:rFonts w:asciiTheme="minorBidi" w:hAnsiTheme="minorBidi"/>
          <w:b/>
          <w:bCs/>
          <w:sz w:val="24"/>
          <w:szCs w:val="24"/>
          <w:u w:val="single"/>
          <w:rtl/>
        </w:rPr>
      </w:pPr>
    </w:p>
    <w:p w:rsidR="0029326A" w:rsidRPr="00644D11" w:rsidRDefault="0029326A" w:rsidP="0029326A">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 xml:space="preserve">אופן חישוב הציון לסטודנט/ית: </w:t>
      </w:r>
    </w:p>
    <w:p w:rsidR="0029326A" w:rsidRPr="00644D11" w:rsidRDefault="0029326A" w:rsidP="0029326A">
      <w:pPr>
        <w:spacing w:after="0" w:line="360" w:lineRule="auto"/>
        <w:jc w:val="both"/>
        <w:rPr>
          <w:rFonts w:asciiTheme="minorBidi" w:hAnsiTheme="minorBidi"/>
          <w:sz w:val="24"/>
          <w:szCs w:val="24"/>
          <w:rtl/>
        </w:rPr>
      </w:pPr>
      <w:r w:rsidRPr="00644D11">
        <w:rPr>
          <w:rFonts w:asciiTheme="minorBidi" w:hAnsiTheme="minorBidi"/>
          <w:sz w:val="24"/>
          <w:szCs w:val="24"/>
          <w:rtl/>
        </w:rPr>
        <w:lastRenderedPageBreak/>
        <w:t>השתתפות פעילה : 10%</w:t>
      </w:r>
    </w:p>
    <w:p w:rsidR="0029326A" w:rsidRPr="00644D11" w:rsidRDefault="0029326A" w:rsidP="0029326A">
      <w:pPr>
        <w:spacing w:after="0" w:line="360" w:lineRule="auto"/>
        <w:jc w:val="both"/>
        <w:rPr>
          <w:rFonts w:asciiTheme="minorBidi" w:hAnsiTheme="minorBidi"/>
          <w:sz w:val="24"/>
          <w:szCs w:val="24"/>
          <w:rtl/>
        </w:rPr>
      </w:pPr>
      <w:r w:rsidRPr="00644D11">
        <w:rPr>
          <w:rFonts w:asciiTheme="minorBidi" w:hAnsiTheme="minorBidi"/>
          <w:sz w:val="24"/>
          <w:szCs w:val="24"/>
          <w:rtl/>
        </w:rPr>
        <w:t>ניתוח טקסטים: 20%</w:t>
      </w:r>
    </w:p>
    <w:p w:rsidR="0029326A" w:rsidRPr="00644D11" w:rsidRDefault="0029326A" w:rsidP="0029326A">
      <w:pPr>
        <w:spacing w:after="0" w:line="360" w:lineRule="auto"/>
        <w:jc w:val="both"/>
        <w:rPr>
          <w:rFonts w:asciiTheme="minorBidi" w:hAnsiTheme="minorBidi"/>
          <w:sz w:val="24"/>
          <w:szCs w:val="24"/>
          <w:rtl/>
        </w:rPr>
      </w:pPr>
      <w:r w:rsidRPr="00644D11">
        <w:rPr>
          <w:rFonts w:asciiTheme="minorBidi" w:hAnsiTheme="minorBidi"/>
          <w:sz w:val="24"/>
          <w:szCs w:val="24"/>
          <w:rtl/>
        </w:rPr>
        <w:t>הגשת הצעת מחקר 10%</w:t>
      </w:r>
    </w:p>
    <w:p w:rsidR="0029326A" w:rsidRDefault="0029326A" w:rsidP="0029326A">
      <w:pPr>
        <w:spacing w:after="0" w:line="360" w:lineRule="auto"/>
        <w:jc w:val="both"/>
        <w:rPr>
          <w:rFonts w:asciiTheme="minorBidi" w:hAnsiTheme="minorBidi"/>
          <w:b/>
          <w:bCs/>
          <w:sz w:val="24"/>
          <w:szCs w:val="24"/>
          <w:u w:val="single"/>
          <w:rtl/>
        </w:rPr>
      </w:pPr>
      <w:r w:rsidRPr="00644D11">
        <w:rPr>
          <w:rFonts w:asciiTheme="minorBidi" w:hAnsiTheme="minorBidi"/>
          <w:sz w:val="24"/>
          <w:szCs w:val="24"/>
          <w:rtl/>
        </w:rPr>
        <w:t xml:space="preserve">עבודה כתובה 60% </w:t>
      </w:r>
    </w:p>
    <w:p w:rsidR="0029326A" w:rsidRDefault="0029326A" w:rsidP="0029326A">
      <w:pPr>
        <w:spacing w:after="0" w:line="360" w:lineRule="auto"/>
        <w:jc w:val="both"/>
        <w:rPr>
          <w:rFonts w:asciiTheme="minorBidi" w:hAnsiTheme="minorBidi"/>
          <w:b/>
          <w:bCs/>
          <w:sz w:val="24"/>
          <w:szCs w:val="24"/>
          <w:u w:val="single"/>
          <w:rtl/>
        </w:rPr>
      </w:pPr>
    </w:p>
    <w:p w:rsidR="00A91CEF" w:rsidRPr="00644D11" w:rsidRDefault="00A91CEF" w:rsidP="0029326A">
      <w:pPr>
        <w:spacing w:after="0" w:line="360" w:lineRule="auto"/>
        <w:jc w:val="both"/>
        <w:rPr>
          <w:rFonts w:asciiTheme="minorBidi" w:hAnsiTheme="minorBidi"/>
          <w:sz w:val="24"/>
          <w:szCs w:val="24"/>
          <w:rtl/>
        </w:rPr>
      </w:pPr>
      <w:r w:rsidRPr="00644D11">
        <w:rPr>
          <w:rFonts w:asciiTheme="minorBidi" w:hAnsiTheme="minorBidi"/>
          <w:b/>
          <w:bCs/>
          <w:sz w:val="24"/>
          <w:szCs w:val="24"/>
          <w:u w:val="single"/>
          <w:rtl/>
        </w:rPr>
        <w:t>ביבליוגרפיה</w:t>
      </w:r>
      <w:r w:rsidRPr="00644D11">
        <w:rPr>
          <w:rFonts w:asciiTheme="minorBidi" w:hAnsiTheme="minorBidi"/>
          <w:b/>
          <w:bCs/>
          <w:sz w:val="24"/>
          <w:szCs w:val="24"/>
          <w:rtl/>
        </w:rPr>
        <w:t>:</w:t>
      </w:r>
      <w:r w:rsidRPr="00644D11">
        <w:rPr>
          <w:rFonts w:asciiTheme="minorBidi" w:hAnsiTheme="minorBidi"/>
          <w:sz w:val="24"/>
          <w:szCs w:val="24"/>
          <w:rtl/>
        </w:rPr>
        <w:t xml:space="preserve"> </w:t>
      </w:r>
    </w:p>
    <w:p w:rsidR="00D02052" w:rsidRPr="00644D11" w:rsidRDefault="00B43255" w:rsidP="00B43255">
      <w:pPr>
        <w:spacing w:line="360" w:lineRule="auto"/>
        <w:rPr>
          <w:rFonts w:asciiTheme="minorBidi" w:hAnsiTheme="minorBidi"/>
          <w:sz w:val="24"/>
          <w:szCs w:val="24"/>
          <w:rtl/>
        </w:rPr>
      </w:pPr>
      <w:r w:rsidRPr="00644D11">
        <w:rPr>
          <w:rFonts w:asciiTheme="minorBidi" w:hAnsiTheme="minorBidi"/>
          <w:sz w:val="24"/>
          <w:szCs w:val="24"/>
          <w:rtl/>
        </w:rPr>
        <w:t>לפי סדר השימוש במהלך הקורס</w:t>
      </w:r>
    </w:p>
    <w:p w:rsidR="00C31270" w:rsidRPr="00644D11" w:rsidRDefault="00C31270" w:rsidP="00D02052">
      <w:pPr>
        <w:spacing w:line="360" w:lineRule="auto"/>
        <w:rPr>
          <w:rFonts w:asciiTheme="minorBidi" w:hAnsiTheme="minorBidi"/>
          <w:b/>
          <w:bCs/>
          <w:sz w:val="24"/>
          <w:szCs w:val="24"/>
          <w:u w:val="single"/>
          <w:rtl/>
        </w:rPr>
      </w:pPr>
      <w:r w:rsidRPr="00644D11">
        <w:rPr>
          <w:rFonts w:asciiTheme="minorBidi" w:hAnsiTheme="minorBidi"/>
          <w:b/>
          <w:bCs/>
          <w:sz w:val="24"/>
          <w:szCs w:val="24"/>
          <w:u w:val="single"/>
          <w:rtl/>
        </w:rPr>
        <w:t>הגדרות</w:t>
      </w:r>
      <w:r w:rsidR="004D18D9" w:rsidRPr="00644D11">
        <w:rPr>
          <w:rFonts w:asciiTheme="minorBidi" w:hAnsiTheme="minorBidi"/>
          <w:b/>
          <w:bCs/>
          <w:sz w:val="24"/>
          <w:szCs w:val="24"/>
          <w:u w:val="single"/>
          <w:rtl/>
        </w:rPr>
        <w:t>: מוזיאון ולאומיות</w:t>
      </w:r>
      <w:r w:rsidR="00D02052" w:rsidRPr="00644D11">
        <w:rPr>
          <w:rFonts w:asciiTheme="minorBidi" w:hAnsiTheme="minorBidi"/>
          <w:b/>
          <w:bCs/>
          <w:sz w:val="24"/>
          <w:szCs w:val="24"/>
          <w:u w:val="single"/>
          <w:rtl/>
        </w:rPr>
        <w:t xml:space="preserve"> (</w:t>
      </w:r>
      <w:r w:rsidR="00EA0714" w:rsidRPr="00644D11">
        <w:rPr>
          <w:rFonts w:asciiTheme="minorBidi" w:hAnsiTheme="minorBidi"/>
          <w:b/>
          <w:bCs/>
          <w:sz w:val="24"/>
          <w:szCs w:val="24"/>
          <w:u w:val="single"/>
          <w:rtl/>
        </w:rPr>
        <w:t xml:space="preserve">כל הטקסטים </w:t>
      </w:r>
      <w:r w:rsidR="00D02052" w:rsidRPr="00644D11">
        <w:rPr>
          <w:rFonts w:asciiTheme="minorBidi" w:hAnsiTheme="minorBidi"/>
          <w:b/>
          <w:bCs/>
          <w:sz w:val="24"/>
          <w:szCs w:val="24"/>
          <w:u w:val="single"/>
          <w:rtl/>
        </w:rPr>
        <w:t>חובה)</w:t>
      </w:r>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אנדרסון, בנדיקט.,</w:t>
      </w:r>
      <w:r w:rsidRPr="00644D11">
        <w:rPr>
          <w:rFonts w:asciiTheme="minorBidi" w:hAnsiTheme="minorBidi"/>
          <w:sz w:val="24"/>
          <w:szCs w:val="24"/>
          <w:u w:val="single"/>
          <w:rtl/>
        </w:rPr>
        <w:t xml:space="preserve"> קהילות מדומיינות – הגיגים על מקור הלאומיות והתפשטותה</w:t>
      </w:r>
      <w:r w:rsidRPr="00644D11">
        <w:rPr>
          <w:rFonts w:asciiTheme="minorBidi" w:hAnsiTheme="minorBidi"/>
          <w:sz w:val="24"/>
          <w:szCs w:val="24"/>
          <w:rtl/>
        </w:rPr>
        <w:t>, האוניברסיטה הפתוחה, תל-אביב, 1999.  פרק 10: "מפקד מפה, מוזיאון", עמ' 222-199</w:t>
      </w:r>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 xml:space="preserve">גלנר, ארנסט,  </w:t>
      </w:r>
      <w:r w:rsidRPr="00644D11">
        <w:rPr>
          <w:rFonts w:asciiTheme="minorBidi" w:hAnsiTheme="minorBidi"/>
          <w:sz w:val="24"/>
          <w:szCs w:val="24"/>
          <w:u w:val="single"/>
          <w:rtl/>
        </w:rPr>
        <w:t>לאומים ולאומיות</w:t>
      </w:r>
      <w:r w:rsidRPr="00644D11">
        <w:rPr>
          <w:rFonts w:asciiTheme="minorBidi" w:hAnsiTheme="minorBidi"/>
          <w:sz w:val="24"/>
          <w:szCs w:val="24"/>
          <w:rtl/>
        </w:rPr>
        <w:t>, האוניברסיטה הפתוחה, תל-אביב, 1994.  "פתח דבר למהדורה העברית" עמ' 12-7  ו"הגדרות", עמ' 23-15</w:t>
      </w:r>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הובסבום, אריך, "מסורת בייצור המוני : אירופה, 1870-1914."  אצל דהאן יוסי והנרי וסרמן (עורכים</w:t>
      </w:r>
      <w:r w:rsidRPr="00644D11">
        <w:rPr>
          <w:rFonts w:asciiTheme="minorBidi" w:hAnsiTheme="minorBidi"/>
          <w:i/>
          <w:iCs/>
          <w:sz w:val="24"/>
          <w:szCs w:val="24"/>
          <w:u w:val="single"/>
          <w:rtl/>
        </w:rPr>
        <w:t>), להמציא אומה - אנתולוגיה</w:t>
      </w:r>
      <w:r w:rsidRPr="00644D11">
        <w:rPr>
          <w:rFonts w:asciiTheme="minorBidi" w:hAnsiTheme="minorBidi"/>
          <w:i/>
          <w:iCs/>
          <w:sz w:val="24"/>
          <w:szCs w:val="24"/>
          <w:rtl/>
        </w:rPr>
        <w:t>, האוניברסיטה הפתוחה</w:t>
      </w:r>
      <w:r w:rsidRPr="00644D11">
        <w:rPr>
          <w:rFonts w:asciiTheme="minorBidi" w:hAnsiTheme="minorBidi"/>
          <w:sz w:val="24"/>
          <w:szCs w:val="24"/>
          <w:rtl/>
        </w:rPr>
        <w:t>, תל-אביב, 2006. 85- 124</w:t>
      </w:r>
    </w:p>
    <w:p w:rsidR="00CA21F0" w:rsidRPr="00644D11" w:rsidRDefault="00CA21F0" w:rsidP="00CA21F0">
      <w:pPr>
        <w:rPr>
          <w:rFonts w:asciiTheme="minorBidi" w:hAnsiTheme="minorBidi"/>
          <w:sz w:val="24"/>
          <w:szCs w:val="24"/>
          <w:rtl/>
        </w:rPr>
      </w:pPr>
      <w:r w:rsidRPr="00644D11">
        <w:rPr>
          <w:rFonts w:asciiTheme="minorBidi" w:hAnsiTheme="minorBidi"/>
          <w:sz w:val="24"/>
          <w:szCs w:val="24"/>
          <w:rtl/>
        </w:rPr>
        <w:t xml:space="preserve">קרק רות ונעם פרי, "מוזיאונים ורב תרבותיות בישראל". </w:t>
      </w:r>
      <w:r w:rsidRPr="00644D11">
        <w:rPr>
          <w:rFonts w:asciiTheme="minorBidi" w:hAnsiTheme="minorBidi"/>
          <w:sz w:val="24"/>
          <w:szCs w:val="24"/>
          <w:u w:val="single"/>
          <w:rtl/>
        </w:rPr>
        <w:t>אופקים בגיאוגרפיה</w:t>
      </w:r>
      <w:r w:rsidRPr="00644D11">
        <w:rPr>
          <w:rFonts w:asciiTheme="minorBidi" w:hAnsiTheme="minorBidi"/>
          <w:sz w:val="24"/>
          <w:szCs w:val="24"/>
          <w:rtl/>
        </w:rPr>
        <w:t>, 70 (2008)  116-105</w:t>
      </w:r>
    </w:p>
    <w:p w:rsidR="00C31270" w:rsidRPr="00644D11" w:rsidRDefault="00C31270" w:rsidP="00C31270">
      <w:pPr>
        <w:bidi w:val="0"/>
        <w:rPr>
          <w:rFonts w:asciiTheme="minorBidi" w:hAnsiTheme="minorBidi"/>
          <w:sz w:val="24"/>
          <w:szCs w:val="24"/>
        </w:rPr>
      </w:pPr>
      <w:r w:rsidRPr="00644D11">
        <w:rPr>
          <w:rFonts w:asciiTheme="minorBidi" w:eastAsia="Calibri" w:hAnsiTheme="minorBidi"/>
          <w:sz w:val="24"/>
          <w:szCs w:val="24"/>
        </w:rPr>
        <w:t>Macdonald  Sharon., "Museums, national, postnational and transcultural identities</w:t>
      </w:r>
      <w:r w:rsidRPr="00644D11">
        <w:rPr>
          <w:rFonts w:asciiTheme="minorBidi" w:hAnsiTheme="minorBidi"/>
          <w:sz w:val="24"/>
          <w:szCs w:val="24"/>
        </w:rPr>
        <w:t xml:space="preserve">", </w:t>
      </w:r>
      <w:r w:rsidRPr="00644D11">
        <w:rPr>
          <w:rFonts w:asciiTheme="minorBidi" w:eastAsia="Calibri" w:hAnsiTheme="minorBidi"/>
          <w:sz w:val="24"/>
          <w:szCs w:val="24"/>
        </w:rPr>
        <w:t>Museum and Society, 1 (1): 1-16.</w:t>
      </w:r>
      <w:r w:rsidRPr="00644D11">
        <w:rPr>
          <w:rFonts w:asciiTheme="minorBidi" w:hAnsiTheme="minorBidi"/>
          <w:sz w:val="24"/>
          <w:szCs w:val="24"/>
        </w:rPr>
        <w:t xml:space="preserve"> (2003) </w:t>
      </w:r>
      <w:hyperlink r:id="rId9" w:history="1">
        <w:r w:rsidRPr="00644D11">
          <w:rPr>
            <w:rStyle w:val="Hyperlink"/>
            <w:rFonts w:asciiTheme="minorBidi" w:hAnsiTheme="minorBidi"/>
            <w:sz w:val="24"/>
            <w:szCs w:val="24"/>
          </w:rPr>
          <w:t>https://www2.le.ac.uk/departments/museumstudies/museumsociety/documents/volumes/mands1.pdf</w:t>
        </w:r>
      </w:hyperlink>
    </w:p>
    <w:p w:rsidR="00C31270" w:rsidRPr="00644D11" w:rsidRDefault="00C31270" w:rsidP="00A91CEF">
      <w:pPr>
        <w:spacing w:line="360" w:lineRule="auto"/>
        <w:rPr>
          <w:rFonts w:asciiTheme="minorBidi" w:hAnsiTheme="minorBidi"/>
          <w:b/>
          <w:bCs/>
          <w:sz w:val="24"/>
          <w:szCs w:val="24"/>
          <w:u w:val="single"/>
          <w:rtl/>
        </w:rPr>
      </w:pPr>
      <w:r w:rsidRPr="00644D11">
        <w:rPr>
          <w:rFonts w:asciiTheme="minorBidi" w:hAnsiTheme="minorBidi"/>
          <w:b/>
          <w:bCs/>
          <w:sz w:val="24"/>
          <w:szCs w:val="24"/>
          <w:u w:val="single"/>
          <w:rtl/>
        </w:rPr>
        <w:t>על עתיקותה של האומה – היסטוריה וארכיאולוגיה</w:t>
      </w:r>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 xml:space="preserve">רוזן, סטיב, "להגיע לבגרות: דעיכת הארכיאולוגיה בזהות הישראלית". בתוך פייגה מיכאל וצבי שילוני, </w:t>
      </w:r>
      <w:r w:rsidRPr="00644D11">
        <w:rPr>
          <w:rFonts w:asciiTheme="minorBidi" w:hAnsiTheme="minorBidi"/>
          <w:sz w:val="24"/>
          <w:szCs w:val="24"/>
          <w:u w:val="single"/>
          <w:rtl/>
        </w:rPr>
        <w:t>קרדום לחפור בו – ארכאולוגיה ולאומיות בארץ ישראל</w:t>
      </w:r>
      <w:r w:rsidRPr="00644D11">
        <w:rPr>
          <w:rFonts w:asciiTheme="minorBidi" w:hAnsiTheme="minorBidi"/>
          <w:sz w:val="24"/>
          <w:szCs w:val="24"/>
          <w:rtl/>
        </w:rPr>
        <w:t>. מכון בן גוריון לחקר ישראל והציונות, קריית שדה בוקר, 2008, 186-171</w:t>
      </w:r>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אזולאי, אריאלה, "בדלתיים פתוחות – מוזיאונים היסטוריים במרחב הציבורי בישראל".</w:t>
      </w:r>
      <w:r w:rsidRPr="00644D11">
        <w:rPr>
          <w:rFonts w:asciiTheme="minorBidi" w:hAnsiTheme="minorBidi"/>
          <w:i/>
          <w:iCs/>
          <w:sz w:val="24"/>
          <w:szCs w:val="24"/>
          <w:rtl/>
        </w:rPr>
        <w:t xml:space="preserve"> </w:t>
      </w:r>
      <w:r w:rsidRPr="00644D11">
        <w:rPr>
          <w:rFonts w:asciiTheme="minorBidi" w:hAnsiTheme="minorBidi"/>
          <w:sz w:val="24"/>
          <w:szCs w:val="24"/>
          <w:u w:val="single"/>
          <w:rtl/>
        </w:rPr>
        <w:t>תיאוריה וביקורת</w:t>
      </w:r>
      <w:r w:rsidRPr="00644D11">
        <w:rPr>
          <w:rFonts w:asciiTheme="minorBidi" w:hAnsiTheme="minorBidi"/>
          <w:i/>
          <w:iCs/>
          <w:sz w:val="24"/>
          <w:szCs w:val="24"/>
          <w:rtl/>
        </w:rPr>
        <w:t>,</w:t>
      </w:r>
      <w:r w:rsidRPr="00644D11">
        <w:rPr>
          <w:rFonts w:asciiTheme="minorBidi" w:hAnsiTheme="minorBidi"/>
          <w:sz w:val="24"/>
          <w:szCs w:val="24"/>
          <w:rtl/>
        </w:rPr>
        <w:t xml:space="preserve">  4 (1993) 95-79</w:t>
      </w:r>
      <w:r w:rsidR="00D02052" w:rsidRPr="00644D11">
        <w:rPr>
          <w:rFonts w:asciiTheme="minorBidi" w:hAnsiTheme="minorBidi"/>
          <w:sz w:val="24"/>
          <w:szCs w:val="24"/>
          <w:rtl/>
        </w:rPr>
        <w:t xml:space="preserve"> (</w:t>
      </w:r>
      <w:r w:rsidR="00D02052" w:rsidRPr="00644D11">
        <w:rPr>
          <w:rFonts w:asciiTheme="minorBidi" w:hAnsiTheme="minorBidi"/>
          <w:b/>
          <w:bCs/>
          <w:sz w:val="24"/>
          <w:szCs w:val="24"/>
          <w:rtl/>
        </w:rPr>
        <w:t>חובה</w:t>
      </w:r>
      <w:r w:rsidR="00D02052" w:rsidRPr="00644D11">
        <w:rPr>
          <w:rFonts w:asciiTheme="minorBidi" w:hAnsiTheme="minorBidi"/>
          <w:sz w:val="24"/>
          <w:szCs w:val="24"/>
          <w:rtl/>
        </w:rPr>
        <w:t>)</w:t>
      </w:r>
    </w:p>
    <w:p w:rsidR="00C31270" w:rsidRPr="00644D11" w:rsidRDefault="00C31270" w:rsidP="00C31270">
      <w:pPr>
        <w:rPr>
          <w:rFonts w:asciiTheme="minorBidi" w:hAnsiTheme="minorBidi"/>
          <w:b/>
          <w:bCs/>
          <w:sz w:val="24"/>
          <w:szCs w:val="24"/>
          <w:u w:val="single"/>
          <w:rtl/>
        </w:rPr>
      </w:pPr>
      <w:r w:rsidRPr="00644D11">
        <w:rPr>
          <w:rFonts w:asciiTheme="minorBidi" w:hAnsiTheme="minorBidi"/>
          <w:b/>
          <w:bCs/>
          <w:sz w:val="24"/>
          <w:szCs w:val="24"/>
          <w:u w:val="single"/>
          <w:rtl/>
        </w:rPr>
        <w:t>תערוכות עולמיות, קול</w:t>
      </w:r>
      <w:r w:rsidR="00D36E15" w:rsidRPr="00644D11">
        <w:rPr>
          <w:rFonts w:asciiTheme="minorBidi" w:hAnsiTheme="minorBidi"/>
          <w:b/>
          <w:bCs/>
          <w:sz w:val="24"/>
          <w:szCs w:val="24"/>
          <w:u w:val="single"/>
          <w:rtl/>
        </w:rPr>
        <w:t>ונ</w:t>
      </w:r>
      <w:r w:rsidRPr="00644D11">
        <w:rPr>
          <w:rFonts w:asciiTheme="minorBidi" w:hAnsiTheme="minorBidi"/>
          <w:b/>
          <w:bCs/>
          <w:sz w:val="24"/>
          <w:szCs w:val="24"/>
          <w:u w:val="single"/>
          <w:rtl/>
        </w:rPr>
        <w:t>יאליזם וניכוס</w:t>
      </w:r>
    </w:p>
    <w:p w:rsidR="00CA21F0" w:rsidRPr="00644D11" w:rsidRDefault="00CA21F0" w:rsidP="00C31270">
      <w:pPr>
        <w:rPr>
          <w:rFonts w:asciiTheme="minorBidi" w:hAnsiTheme="minorBidi"/>
          <w:sz w:val="24"/>
          <w:szCs w:val="24"/>
          <w:rtl/>
        </w:rPr>
      </w:pPr>
      <w:r w:rsidRPr="00644D11">
        <w:rPr>
          <w:rFonts w:asciiTheme="minorBidi" w:hAnsiTheme="minorBidi"/>
          <w:sz w:val="24"/>
          <w:szCs w:val="24"/>
          <w:rtl/>
        </w:rPr>
        <w:t xml:space="preserve">גראוויס קובלסקי אופירה ויוסי כץ, "'תערוכת כיבוש השממה' התערוכה הבינלאומית הראשונה בירושלים </w:t>
      </w:r>
      <w:r w:rsidR="0053048D" w:rsidRPr="00644D11">
        <w:rPr>
          <w:rFonts w:asciiTheme="minorBidi" w:hAnsiTheme="minorBidi"/>
          <w:sz w:val="24"/>
          <w:szCs w:val="24"/>
          <w:rtl/>
        </w:rPr>
        <w:t>"</w:t>
      </w:r>
      <w:r w:rsidRPr="00644D11">
        <w:rPr>
          <w:rFonts w:asciiTheme="minorBidi" w:hAnsiTheme="minorBidi"/>
          <w:sz w:val="24"/>
          <w:szCs w:val="24"/>
          <w:rtl/>
        </w:rPr>
        <w:t>1953</w:t>
      </w:r>
      <w:r w:rsidR="0053048D" w:rsidRPr="00644D11">
        <w:rPr>
          <w:rFonts w:asciiTheme="minorBidi" w:hAnsiTheme="minorBidi"/>
          <w:sz w:val="24"/>
          <w:szCs w:val="24"/>
          <w:rtl/>
        </w:rPr>
        <w:t xml:space="preserve">, </w:t>
      </w:r>
      <w:r w:rsidR="0053048D" w:rsidRPr="00644D11">
        <w:rPr>
          <w:rFonts w:asciiTheme="minorBidi" w:hAnsiTheme="minorBidi"/>
          <w:sz w:val="24"/>
          <w:szCs w:val="24"/>
          <w:u w:val="single"/>
          <w:rtl/>
        </w:rPr>
        <w:t>ישראל</w:t>
      </w:r>
      <w:r w:rsidR="0053048D" w:rsidRPr="00644D11">
        <w:rPr>
          <w:rFonts w:asciiTheme="minorBidi" w:hAnsiTheme="minorBidi"/>
          <w:sz w:val="24"/>
          <w:szCs w:val="24"/>
          <w:rtl/>
        </w:rPr>
        <w:t xml:space="preserve"> 20 (2012), 180-153</w:t>
      </w:r>
    </w:p>
    <w:p w:rsidR="00C31270" w:rsidRPr="00644D11" w:rsidRDefault="00C31270" w:rsidP="00C31270">
      <w:pPr>
        <w:jc w:val="right"/>
        <w:rPr>
          <w:rFonts w:asciiTheme="minorBidi" w:hAnsiTheme="minorBidi"/>
          <w:sz w:val="24"/>
          <w:szCs w:val="24"/>
        </w:rPr>
      </w:pPr>
      <w:r w:rsidRPr="00644D11">
        <w:rPr>
          <w:rFonts w:asciiTheme="minorBidi" w:hAnsiTheme="minorBidi"/>
          <w:sz w:val="24"/>
          <w:szCs w:val="24"/>
        </w:rPr>
        <w:t xml:space="preserve">Browne, J., “Biogeography and empire”, in N. Jardine, J.A. Secord and E.C. Spary  (eds.), </w:t>
      </w:r>
      <w:r w:rsidRPr="00644D11">
        <w:rPr>
          <w:rFonts w:asciiTheme="minorBidi" w:hAnsiTheme="minorBidi"/>
          <w:i/>
          <w:iCs/>
          <w:sz w:val="24"/>
          <w:szCs w:val="24"/>
        </w:rPr>
        <w:t>Cultures of Natural History</w:t>
      </w:r>
      <w:r w:rsidRPr="00644D11">
        <w:rPr>
          <w:rFonts w:asciiTheme="minorBidi" w:hAnsiTheme="minorBidi"/>
          <w:sz w:val="24"/>
          <w:szCs w:val="24"/>
        </w:rPr>
        <w:t xml:space="preserve"> Cambridge University Press, Cambridge, 1996. pp. 305-321</w:t>
      </w:r>
    </w:p>
    <w:p w:rsidR="004D18D9" w:rsidRPr="00644D11" w:rsidRDefault="004D18D9" w:rsidP="00D02052">
      <w:pPr>
        <w:autoSpaceDE w:val="0"/>
        <w:autoSpaceDN w:val="0"/>
        <w:bidi w:val="0"/>
        <w:adjustRightInd w:val="0"/>
        <w:spacing w:line="360" w:lineRule="auto"/>
        <w:rPr>
          <w:rFonts w:asciiTheme="minorBidi" w:hAnsiTheme="minorBidi"/>
          <w:sz w:val="24"/>
          <w:szCs w:val="24"/>
        </w:rPr>
      </w:pPr>
      <w:r w:rsidRPr="00644D11">
        <w:rPr>
          <w:rFonts w:asciiTheme="minorBidi" w:hAnsiTheme="minorBidi"/>
          <w:sz w:val="24"/>
          <w:szCs w:val="24"/>
        </w:rPr>
        <w:t xml:space="preserve">Rydell, Robert, W. "World Fairs and Museums." </w:t>
      </w:r>
      <w:r w:rsidRPr="00644D11">
        <w:rPr>
          <w:rFonts w:asciiTheme="minorBidi" w:hAnsiTheme="minorBidi"/>
          <w:sz w:val="24"/>
          <w:szCs w:val="24"/>
          <w:u w:val="single"/>
        </w:rPr>
        <w:t>A Companion to Museum Studies</w:t>
      </w:r>
      <w:r w:rsidRPr="00644D11">
        <w:rPr>
          <w:rFonts w:asciiTheme="minorBidi" w:hAnsiTheme="minorBidi"/>
          <w:sz w:val="24"/>
          <w:szCs w:val="24"/>
        </w:rPr>
        <w:t>. Ed. Suzanne Macdonald. Oxford: Blackwell Publishing, 2006. 135-</w:t>
      </w:r>
    </w:p>
    <w:p w:rsidR="00C31270" w:rsidRPr="00644D11" w:rsidRDefault="00C31270" w:rsidP="00C31270">
      <w:pPr>
        <w:rPr>
          <w:rFonts w:asciiTheme="minorBidi" w:hAnsiTheme="minorBidi"/>
          <w:b/>
          <w:bCs/>
          <w:sz w:val="24"/>
          <w:szCs w:val="24"/>
          <w:u w:val="single"/>
          <w:rtl/>
        </w:rPr>
      </w:pPr>
      <w:r w:rsidRPr="00644D11">
        <w:rPr>
          <w:rFonts w:asciiTheme="minorBidi" w:hAnsiTheme="minorBidi"/>
          <w:b/>
          <w:bCs/>
          <w:sz w:val="24"/>
          <w:szCs w:val="24"/>
          <w:u w:val="single"/>
          <w:rtl/>
        </w:rPr>
        <w:t>הגיבור הלאומי והגיבור העממי</w:t>
      </w:r>
    </w:p>
    <w:p w:rsidR="00C31270" w:rsidRPr="00644D11" w:rsidRDefault="00C31270" w:rsidP="00C31270">
      <w:pPr>
        <w:autoSpaceDE w:val="0"/>
        <w:autoSpaceDN w:val="0"/>
        <w:bidi w:val="0"/>
        <w:adjustRightInd w:val="0"/>
        <w:rPr>
          <w:rFonts w:asciiTheme="minorBidi" w:hAnsiTheme="minorBidi"/>
          <w:sz w:val="24"/>
          <w:szCs w:val="24"/>
          <w:u w:val="single"/>
        </w:rPr>
      </w:pPr>
      <w:r w:rsidRPr="00644D11">
        <w:rPr>
          <w:rFonts w:asciiTheme="minorBidi" w:eastAsia="Calibri" w:hAnsiTheme="minorBidi"/>
          <w:color w:val="231F20"/>
          <w:sz w:val="24"/>
          <w:szCs w:val="24"/>
        </w:rPr>
        <w:lastRenderedPageBreak/>
        <w:t>Watson Sheil</w:t>
      </w:r>
      <w:r w:rsidRPr="00644D11">
        <w:rPr>
          <w:rFonts w:asciiTheme="minorBidi" w:eastAsia="Calibri" w:hAnsiTheme="minorBidi"/>
          <w:i/>
          <w:iCs/>
          <w:color w:val="231F20"/>
          <w:sz w:val="24"/>
          <w:szCs w:val="24"/>
        </w:rPr>
        <w:t>a</w:t>
      </w:r>
      <w:r w:rsidRPr="00644D11">
        <w:rPr>
          <w:rFonts w:asciiTheme="minorBidi" w:eastAsia="Calibri" w:hAnsiTheme="minorBidi"/>
          <w:color w:val="231F20"/>
          <w:sz w:val="24"/>
          <w:szCs w:val="24"/>
        </w:rPr>
        <w:t xml:space="preserve"> ‘England expects’: Nelson as a symbol of local and national identity within the museum", </w:t>
      </w:r>
      <w:r w:rsidRPr="00644D11">
        <w:rPr>
          <w:rFonts w:asciiTheme="minorBidi" w:eastAsia="Calibri" w:hAnsiTheme="minorBidi"/>
          <w:color w:val="231F20"/>
          <w:sz w:val="24"/>
          <w:szCs w:val="24"/>
          <w:u w:val="single"/>
        </w:rPr>
        <w:t>Museum and Society</w:t>
      </w:r>
      <w:r w:rsidRPr="00644D11">
        <w:rPr>
          <w:rFonts w:asciiTheme="minorBidi" w:eastAsia="Calibri" w:hAnsiTheme="minorBidi"/>
          <w:color w:val="231F20"/>
          <w:sz w:val="24"/>
          <w:szCs w:val="24"/>
        </w:rPr>
        <w:t xml:space="preserve">, November 2006. 4(3) 129-151. </w:t>
      </w:r>
      <w:hyperlink r:id="rId10" w:history="1">
        <w:r w:rsidRPr="00644D11">
          <w:rPr>
            <w:rStyle w:val="Hyperlink"/>
            <w:rFonts w:asciiTheme="minorBidi" w:hAnsiTheme="minorBidi"/>
            <w:sz w:val="24"/>
            <w:szCs w:val="24"/>
          </w:rPr>
          <w:t>https://www2.le.ac.uk/departments/museumstudies/museumsociety/documents/volumes/watson.pdf</w:t>
        </w:r>
      </w:hyperlink>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 xml:space="preserve">כתריאל, תמר, "נהיה כולנו חלוצים – כלים וסיפורים במוזיאון לתולדות ההתיישבות" בתוך  כתריאל, תמר, </w:t>
      </w:r>
      <w:r w:rsidRPr="00644D11">
        <w:rPr>
          <w:rFonts w:asciiTheme="minorBidi" w:hAnsiTheme="minorBidi"/>
          <w:sz w:val="24"/>
          <w:szCs w:val="24"/>
          <w:u w:val="single"/>
          <w:rtl/>
        </w:rPr>
        <w:t>מילות מפתח – דפוסי תרבות ותקשורת בישראל</w:t>
      </w:r>
      <w:r w:rsidRPr="00644D11">
        <w:rPr>
          <w:rFonts w:asciiTheme="minorBidi" w:hAnsiTheme="minorBidi"/>
          <w:sz w:val="24"/>
          <w:szCs w:val="24"/>
          <w:rtl/>
        </w:rPr>
        <w:t>, הוצאת הספרים של אוניברסיטת חיפה, זמורה-ביתן, חיפה תשנ"ט, 1997    251-226</w:t>
      </w:r>
      <w:r w:rsidR="00D02052" w:rsidRPr="00644D11">
        <w:rPr>
          <w:rFonts w:asciiTheme="minorBidi" w:hAnsiTheme="minorBidi"/>
          <w:sz w:val="24"/>
          <w:szCs w:val="24"/>
          <w:rtl/>
        </w:rPr>
        <w:t xml:space="preserve"> (</w:t>
      </w:r>
      <w:r w:rsidR="00D02052" w:rsidRPr="00644D11">
        <w:rPr>
          <w:rFonts w:asciiTheme="minorBidi" w:hAnsiTheme="minorBidi"/>
          <w:b/>
          <w:bCs/>
          <w:sz w:val="24"/>
          <w:szCs w:val="24"/>
          <w:rtl/>
        </w:rPr>
        <w:t>חובה</w:t>
      </w:r>
      <w:r w:rsidR="00D02052" w:rsidRPr="00644D11">
        <w:rPr>
          <w:rFonts w:asciiTheme="minorBidi" w:hAnsiTheme="minorBidi"/>
          <w:sz w:val="24"/>
          <w:szCs w:val="24"/>
          <w:rtl/>
        </w:rPr>
        <w:t>)</w:t>
      </w:r>
    </w:p>
    <w:p w:rsidR="00C31270" w:rsidRPr="00644D11" w:rsidRDefault="00C31270" w:rsidP="00C31270">
      <w:pPr>
        <w:rPr>
          <w:rFonts w:asciiTheme="minorBidi" w:hAnsiTheme="minorBidi"/>
          <w:b/>
          <w:bCs/>
          <w:sz w:val="24"/>
          <w:szCs w:val="24"/>
          <w:u w:val="single"/>
          <w:rtl/>
        </w:rPr>
      </w:pPr>
      <w:r w:rsidRPr="00644D11">
        <w:rPr>
          <w:rFonts w:asciiTheme="minorBidi" w:hAnsiTheme="minorBidi"/>
          <w:b/>
          <w:bCs/>
          <w:sz w:val="24"/>
          <w:szCs w:val="24"/>
          <w:u w:val="single"/>
          <w:rtl/>
        </w:rPr>
        <w:t>טראומה לאומית, קורבנות ומוזיאונים</w:t>
      </w:r>
    </w:p>
    <w:p w:rsidR="00C31270" w:rsidRPr="00644D11" w:rsidRDefault="00C31270" w:rsidP="00C31270">
      <w:pPr>
        <w:rPr>
          <w:rFonts w:asciiTheme="minorBidi" w:hAnsiTheme="minorBidi"/>
          <w:sz w:val="24"/>
          <w:szCs w:val="24"/>
          <w:rtl/>
        </w:rPr>
      </w:pPr>
      <w:r w:rsidRPr="00644D11">
        <w:rPr>
          <w:rFonts w:asciiTheme="minorBidi" w:hAnsiTheme="minorBidi"/>
          <w:sz w:val="24"/>
          <w:szCs w:val="24"/>
          <w:rtl/>
        </w:rPr>
        <w:t xml:space="preserve">נוימן, ערן, "הנוכחות הפיזית של השואה". בתוך: קרן, נילי (עורכת) </w:t>
      </w:r>
      <w:r w:rsidRPr="00644D11">
        <w:rPr>
          <w:rFonts w:asciiTheme="minorBidi" w:hAnsiTheme="minorBidi"/>
          <w:sz w:val="24"/>
          <w:szCs w:val="24"/>
          <w:u w:val="single"/>
          <w:rtl/>
        </w:rPr>
        <w:t>איים של זיכרון - השואה במוזיאונים במאה ה–21 מבחר מחקרים, מאמרים ורשימות. קובץ משואה ל"ה</w:t>
      </w:r>
      <w:r w:rsidRPr="00644D11">
        <w:rPr>
          <w:rFonts w:asciiTheme="minorBidi" w:hAnsiTheme="minorBidi"/>
          <w:sz w:val="24"/>
          <w:szCs w:val="24"/>
          <w:rtl/>
        </w:rPr>
        <w:t>. משואה- המכון ללימודי השואה. משרד הביטחון- ההוצאה לאור, 2008. 33-22</w:t>
      </w:r>
    </w:p>
    <w:p w:rsidR="00EA0714" w:rsidRPr="00644D11" w:rsidRDefault="00EA0714" w:rsidP="00C31270">
      <w:pPr>
        <w:rPr>
          <w:rFonts w:asciiTheme="minorBidi" w:hAnsiTheme="minorBidi"/>
          <w:sz w:val="24"/>
          <w:szCs w:val="24"/>
          <w:rtl/>
        </w:rPr>
      </w:pPr>
    </w:p>
    <w:p w:rsidR="00EA0714" w:rsidRPr="00644D11" w:rsidRDefault="00EA0714" w:rsidP="00C31270">
      <w:pPr>
        <w:rPr>
          <w:rFonts w:asciiTheme="minorBidi" w:hAnsiTheme="minorBidi"/>
          <w:b/>
          <w:bCs/>
          <w:sz w:val="24"/>
          <w:szCs w:val="24"/>
          <w:rtl/>
        </w:rPr>
      </w:pPr>
      <w:r w:rsidRPr="00644D11">
        <w:rPr>
          <w:rFonts w:asciiTheme="minorBidi" w:hAnsiTheme="minorBidi"/>
          <w:b/>
          <w:bCs/>
          <w:sz w:val="24"/>
          <w:szCs w:val="24"/>
          <w:rtl/>
        </w:rPr>
        <w:t>(חובה)</w:t>
      </w:r>
      <w:r w:rsidR="00A71FF3" w:rsidRPr="00644D11">
        <w:rPr>
          <w:rFonts w:asciiTheme="minorBidi" w:hAnsiTheme="minorBidi"/>
          <w:b/>
          <w:bCs/>
          <w:sz w:val="24"/>
          <w:szCs w:val="24"/>
          <w:rtl/>
        </w:rPr>
        <w:t>:</w:t>
      </w:r>
    </w:p>
    <w:p w:rsidR="00C31270" w:rsidRPr="00644D11" w:rsidRDefault="00C31270" w:rsidP="00EA0714">
      <w:pPr>
        <w:jc w:val="right"/>
        <w:rPr>
          <w:rFonts w:asciiTheme="minorBidi" w:hAnsiTheme="minorBidi"/>
          <w:sz w:val="24"/>
          <w:szCs w:val="24"/>
          <w:rtl/>
        </w:rPr>
      </w:pPr>
      <w:r w:rsidRPr="00644D11">
        <w:rPr>
          <w:rFonts w:asciiTheme="minorBidi" w:hAnsiTheme="minorBidi"/>
          <w:sz w:val="24"/>
          <w:szCs w:val="24"/>
        </w:rPr>
        <w:t xml:space="preserve">Weissman, Terri, "The Spectacle of Trauma: 9/11 in the Museum", </w:t>
      </w:r>
      <w:r w:rsidRPr="00644D11">
        <w:rPr>
          <w:rFonts w:asciiTheme="minorBidi" w:hAnsiTheme="minorBidi"/>
          <w:sz w:val="24"/>
          <w:szCs w:val="24"/>
          <w:u w:val="single"/>
        </w:rPr>
        <w:t>Visual Resources</w:t>
      </w:r>
      <w:r w:rsidRPr="00644D11">
        <w:rPr>
          <w:rFonts w:asciiTheme="minorBidi" w:hAnsiTheme="minorBidi"/>
          <w:sz w:val="24"/>
          <w:szCs w:val="24"/>
        </w:rPr>
        <w:t xml:space="preserve"> Vol. XXI, No. 2, June 2005, 155-170</w:t>
      </w:r>
      <w:r w:rsidR="00EA0714" w:rsidRPr="00644D11">
        <w:rPr>
          <w:rFonts w:asciiTheme="minorBidi" w:hAnsiTheme="minorBidi"/>
          <w:sz w:val="24"/>
          <w:szCs w:val="24"/>
        </w:rPr>
        <w:t xml:space="preserve"> </w:t>
      </w:r>
    </w:p>
    <w:p w:rsidR="00C31270" w:rsidRPr="00644D11" w:rsidRDefault="00C31270" w:rsidP="00C31270">
      <w:pPr>
        <w:rPr>
          <w:rFonts w:asciiTheme="minorBidi" w:hAnsiTheme="minorBidi"/>
          <w:b/>
          <w:bCs/>
          <w:sz w:val="24"/>
          <w:szCs w:val="24"/>
          <w:u w:val="single"/>
          <w:rtl/>
        </w:rPr>
      </w:pPr>
      <w:r w:rsidRPr="00644D11">
        <w:rPr>
          <w:rFonts w:asciiTheme="minorBidi" w:hAnsiTheme="minorBidi"/>
          <w:b/>
          <w:bCs/>
          <w:sz w:val="24"/>
          <w:szCs w:val="24"/>
          <w:u w:val="single"/>
          <w:rtl/>
        </w:rPr>
        <w:t>אמנות מגוייסת</w:t>
      </w:r>
    </w:p>
    <w:p w:rsidR="00C31270" w:rsidRPr="00644D11" w:rsidRDefault="00C31270" w:rsidP="00C31270">
      <w:pPr>
        <w:rPr>
          <w:rFonts w:asciiTheme="minorBidi" w:hAnsiTheme="minorBidi"/>
          <w:b/>
          <w:bCs/>
          <w:sz w:val="24"/>
          <w:szCs w:val="24"/>
          <w:u w:val="single"/>
          <w:rtl/>
        </w:rPr>
      </w:pPr>
      <w:r w:rsidRPr="00644D11">
        <w:rPr>
          <w:rFonts w:asciiTheme="minorBidi" w:hAnsiTheme="minorBidi"/>
          <w:sz w:val="24"/>
          <w:szCs w:val="24"/>
          <w:rtl/>
        </w:rPr>
        <w:t xml:space="preserve">אריאלי הורוביץ, דנה, </w:t>
      </w:r>
      <w:r w:rsidRPr="00644D11">
        <w:rPr>
          <w:rFonts w:asciiTheme="minorBidi" w:hAnsiTheme="minorBidi"/>
          <w:sz w:val="24"/>
          <w:szCs w:val="24"/>
          <w:u w:val="single"/>
          <w:rtl/>
        </w:rPr>
        <w:t>אמנות ורודנות- אוונגרד ואמנות מגויסת במשטרים טוטליטריים</w:t>
      </w:r>
      <w:r w:rsidRPr="00644D11">
        <w:rPr>
          <w:rFonts w:asciiTheme="minorBidi" w:hAnsiTheme="minorBidi"/>
          <w:sz w:val="24"/>
          <w:szCs w:val="24"/>
          <w:rtl/>
        </w:rPr>
        <w:t>, אוניברסיטת תל-אביב, ההוצאה לאור, תל-אביב, 2008</w:t>
      </w:r>
      <w:r w:rsidRPr="00644D11">
        <w:rPr>
          <w:rFonts w:asciiTheme="minorBidi" w:hAnsiTheme="minorBidi"/>
          <w:b/>
          <w:bCs/>
          <w:sz w:val="24"/>
          <w:szCs w:val="24"/>
          <w:u w:val="single"/>
          <w:rtl/>
        </w:rPr>
        <w:t>,</w:t>
      </w:r>
      <w:r w:rsidRPr="00644D11">
        <w:rPr>
          <w:rFonts w:asciiTheme="minorBidi" w:hAnsiTheme="minorBidi"/>
          <w:sz w:val="24"/>
          <w:szCs w:val="24"/>
          <w:rtl/>
        </w:rPr>
        <w:t xml:space="preserve"> 40-13</w:t>
      </w:r>
    </w:p>
    <w:p w:rsidR="00C31270" w:rsidRPr="00644D11" w:rsidRDefault="00C31270" w:rsidP="00A71FF3">
      <w:pPr>
        <w:spacing w:line="360" w:lineRule="auto"/>
        <w:rPr>
          <w:rFonts w:asciiTheme="minorBidi" w:hAnsiTheme="minorBidi"/>
          <w:sz w:val="24"/>
          <w:szCs w:val="24"/>
          <w:rtl/>
        </w:rPr>
      </w:pPr>
      <w:r w:rsidRPr="00644D11">
        <w:rPr>
          <w:rFonts w:asciiTheme="minorBidi" w:hAnsiTheme="minorBidi"/>
          <w:sz w:val="24"/>
          <w:szCs w:val="24"/>
          <w:rtl/>
        </w:rPr>
        <w:t xml:space="preserve">גרדוש-סנטו דניאלה ויורם. שמיר, </w:t>
      </w:r>
      <w:r w:rsidRPr="00644D11">
        <w:rPr>
          <w:rFonts w:asciiTheme="minorBidi" w:hAnsiTheme="minorBidi"/>
          <w:sz w:val="24"/>
          <w:szCs w:val="24"/>
          <w:u w:val="single"/>
          <w:rtl/>
        </w:rPr>
        <w:t>לא רק סמל – סמל המדינה בקריקטורה</w:t>
      </w:r>
      <w:r w:rsidRPr="00644D11">
        <w:rPr>
          <w:rFonts w:asciiTheme="minorBidi" w:hAnsiTheme="minorBidi"/>
          <w:sz w:val="24"/>
          <w:szCs w:val="24"/>
          <w:rtl/>
        </w:rPr>
        <w:t>, (קטלוג תערוכה)  המוזיאון הישראלי לקריקטורה וקומיקס, חולון, 2011</w:t>
      </w:r>
      <w:r w:rsidR="00A71FF3" w:rsidRPr="00644D11">
        <w:rPr>
          <w:rFonts w:asciiTheme="minorBidi" w:hAnsiTheme="minorBidi"/>
          <w:sz w:val="24"/>
          <w:szCs w:val="24"/>
          <w:rtl/>
        </w:rPr>
        <w:t xml:space="preserve"> </w:t>
      </w:r>
      <w:r w:rsidR="00A71FF3" w:rsidRPr="00644D11">
        <w:rPr>
          <w:rFonts w:asciiTheme="minorBidi" w:hAnsiTheme="minorBidi"/>
          <w:b/>
          <w:bCs/>
          <w:sz w:val="24"/>
          <w:szCs w:val="24"/>
          <w:rtl/>
        </w:rPr>
        <w:t>(חובה)</w:t>
      </w:r>
    </w:p>
    <w:p w:rsidR="00C31270" w:rsidRPr="00644D11" w:rsidRDefault="00C31270" w:rsidP="00C31270">
      <w:pPr>
        <w:spacing w:line="360" w:lineRule="auto"/>
        <w:rPr>
          <w:rFonts w:asciiTheme="minorBidi" w:hAnsiTheme="minorBidi"/>
          <w:sz w:val="24"/>
          <w:szCs w:val="24"/>
          <w:rtl/>
        </w:rPr>
      </w:pPr>
      <w:r w:rsidRPr="00644D11">
        <w:rPr>
          <w:rFonts w:asciiTheme="minorBidi" w:hAnsiTheme="minorBidi"/>
          <w:sz w:val="24"/>
          <w:szCs w:val="24"/>
          <w:rtl/>
        </w:rPr>
        <w:t xml:space="preserve">מרטין, ראסל., </w:t>
      </w:r>
      <w:r w:rsidRPr="00644D11">
        <w:rPr>
          <w:rFonts w:asciiTheme="minorBidi" w:hAnsiTheme="minorBidi"/>
          <w:sz w:val="24"/>
          <w:szCs w:val="24"/>
          <w:u w:val="single"/>
          <w:rtl/>
        </w:rPr>
        <w:t>מלחמתו של פיקאסו</w:t>
      </w:r>
      <w:r w:rsidRPr="00644D11">
        <w:rPr>
          <w:rFonts w:asciiTheme="minorBidi" w:hAnsiTheme="minorBidi"/>
          <w:sz w:val="24"/>
          <w:szCs w:val="24"/>
          <w:rtl/>
        </w:rPr>
        <w:t>, (תרגם מאנגלית עמית יריב) הוצאת אופוס, תל-אביב, 2004. 212-17</w:t>
      </w:r>
    </w:p>
    <w:p w:rsidR="00EA0714" w:rsidRPr="00644D11" w:rsidRDefault="00EA0714" w:rsidP="00C31270">
      <w:pPr>
        <w:spacing w:line="360" w:lineRule="auto"/>
        <w:rPr>
          <w:rFonts w:asciiTheme="minorBidi" w:hAnsiTheme="minorBidi"/>
          <w:b/>
          <w:bCs/>
          <w:sz w:val="24"/>
          <w:szCs w:val="24"/>
          <w:rtl/>
        </w:rPr>
      </w:pPr>
      <w:r w:rsidRPr="00644D11">
        <w:rPr>
          <w:rFonts w:asciiTheme="minorBidi" w:hAnsiTheme="minorBidi"/>
          <w:b/>
          <w:bCs/>
          <w:sz w:val="24"/>
          <w:szCs w:val="24"/>
          <w:rtl/>
        </w:rPr>
        <w:t>(חובה)</w:t>
      </w:r>
      <w:r w:rsidR="00A71FF3" w:rsidRPr="00644D11">
        <w:rPr>
          <w:rFonts w:asciiTheme="minorBidi" w:hAnsiTheme="minorBidi"/>
          <w:b/>
          <w:bCs/>
          <w:sz w:val="24"/>
          <w:szCs w:val="24"/>
          <w:rtl/>
        </w:rPr>
        <w:t>:</w:t>
      </w:r>
    </w:p>
    <w:p w:rsidR="00C31270" w:rsidRPr="00644D11" w:rsidRDefault="00C31270" w:rsidP="00C31270">
      <w:pPr>
        <w:jc w:val="right"/>
        <w:rPr>
          <w:rFonts w:asciiTheme="minorBidi" w:hAnsiTheme="minorBidi"/>
          <w:sz w:val="24"/>
          <w:szCs w:val="24"/>
          <w:rtl/>
        </w:rPr>
      </w:pPr>
      <w:r w:rsidRPr="00644D11">
        <w:rPr>
          <w:rFonts w:asciiTheme="minorBidi" w:hAnsiTheme="minorBidi"/>
          <w:sz w:val="24"/>
          <w:szCs w:val="24"/>
        </w:rPr>
        <w:t xml:space="preserve">Anon,, </w:t>
      </w:r>
      <w:r w:rsidRPr="00644D11">
        <w:rPr>
          <w:rFonts w:asciiTheme="minorBidi" w:hAnsiTheme="minorBidi"/>
          <w:sz w:val="24"/>
          <w:szCs w:val="24"/>
          <w:u w:val="single"/>
        </w:rPr>
        <w:t xml:space="preserve">Histories in Conflict: Haus der Kunst and the Ideological Use of Art 1937 – 1955  </w:t>
      </w:r>
      <w:r w:rsidRPr="00644D11">
        <w:rPr>
          <w:rFonts w:asciiTheme="minorBidi" w:hAnsiTheme="minorBidi"/>
          <w:sz w:val="24"/>
          <w:szCs w:val="24"/>
        </w:rPr>
        <w:t>, (exhibition catalogue)  Hous der Kunst, Munchen, 2012</w:t>
      </w:r>
      <w:r w:rsidR="00EA0714" w:rsidRPr="00644D11">
        <w:rPr>
          <w:rFonts w:asciiTheme="minorBidi" w:hAnsiTheme="minorBidi"/>
          <w:sz w:val="24"/>
          <w:szCs w:val="24"/>
        </w:rPr>
        <w:t xml:space="preserve"> </w:t>
      </w:r>
    </w:p>
    <w:p w:rsidR="00C31270" w:rsidRPr="00644D11" w:rsidRDefault="00C31270" w:rsidP="00C31270">
      <w:pPr>
        <w:rPr>
          <w:rFonts w:asciiTheme="minorBidi" w:hAnsiTheme="minorBidi"/>
          <w:b/>
          <w:bCs/>
          <w:sz w:val="24"/>
          <w:szCs w:val="24"/>
          <w:u w:val="single"/>
          <w:rtl/>
        </w:rPr>
      </w:pPr>
    </w:p>
    <w:p w:rsidR="00C31270" w:rsidRPr="00644D11" w:rsidRDefault="00A833A7" w:rsidP="00C31270">
      <w:pPr>
        <w:rPr>
          <w:rFonts w:asciiTheme="minorBidi" w:hAnsiTheme="minorBidi"/>
          <w:b/>
          <w:bCs/>
          <w:sz w:val="24"/>
          <w:szCs w:val="24"/>
          <w:u w:val="single"/>
          <w:rtl/>
        </w:rPr>
      </w:pPr>
      <w:r w:rsidRPr="00644D11">
        <w:rPr>
          <w:rFonts w:asciiTheme="minorBidi" w:hAnsiTheme="minorBidi"/>
          <w:b/>
          <w:bCs/>
          <w:sz w:val="24"/>
          <w:szCs w:val="24"/>
          <w:u w:val="single"/>
          <w:rtl/>
        </w:rPr>
        <w:t>לאומיות ישראלית, לאומיות פלסטינית והמוזיאון</w:t>
      </w:r>
    </w:p>
    <w:p w:rsidR="00A833A7" w:rsidRPr="00644D11" w:rsidRDefault="00A833A7" w:rsidP="00A833A7">
      <w:pPr>
        <w:rPr>
          <w:rFonts w:asciiTheme="minorBidi" w:hAnsiTheme="minorBidi"/>
          <w:sz w:val="24"/>
          <w:szCs w:val="24"/>
          <w:rtl/>
        </w:rPr>
      </w:pPr>
      <w:r w:rsidRPr="00644D11">
        <w:rPr>
          <w:rFonts w:asciiTheme="minorBidi" w:hAnsiTheme="minorBidi"/>
          <w:sz w:val="24"/>
          <w:szCs w:val="24"/>
          <w:rtl/>
        </w:rPr>
        <w:t xml:space="preserve">דרורי, זאב ואודי לבל, "יחסי הציבור של המוות – עימותי זיכרון באתר ההנצחה הלאומי: מוזיאון הר איתן", </w:t>
      </w:r>
      <w:r w:rsidRPr="00644D11">
        <w:rPr>
          <w:rFonts w:asciiTheme="minorBidi" w:hAnsiTheme="minorBidi"/>
          <w:sz w:val="24"/>
          <w:szCs w:val="24"/>
          <w:u w:val="single"/>
          <w:rtl/>
        </w:rPr>
        <w:t>תרבות דמוקרטית</w:t>
      </w:r>
      <w:r w:rsidRPr="00644D11">
        <w:rPr>
          <w:rFonts w:asciiTheme="minorBidi" w:hAnsiTheme="minorBidi"/>
          <w:sz w:val="24"/>
          <w:szCs w:val="24"/>
          <w:rtl/>
        </w:rPr>
        <w:t>, 9 (2005) 49- 84</w:t>
      </w:r>
      <w:r w:rsidR="00EA0714" w:rsidRPr="00644D11">
        <w:rPr>
          <w:rFonts w:asciiTheme="minorBidi" w:hAnsiTheme="minorBidi"/>
          <w:sz w:val="24"/>
          <w:szCs w:val="24"/>
          <w:rtl/>
        </w:rPr>
        <w:t xml:space="preserve"> (</w:t>
      </w:r>
      <w:r w:rsidR="00EA0714" w:rsidRPr="00644D11">
        <w:rPr>
          <w:rFonts w:asciiTheme="minorBidi" w:hAnsiTheme="minorBidi"/>
          <w:b/>
          <w:bCs/>
          <w:sz w:val="24"/>
          <w:szCs w:val="24"/>
          <w:rtl/>
        </w:rPr>
        <w:t>חובה</w:t>
      </w:r>
      <w:r w:rsidR="00EA0714" w:rsidRPr="00644D11">
        <w:rPr>
          <w:rFonts w:asciiTheme="minorBidi" w:hAnsiTheme="minorBidi"/>
          <w:sz w:val="24"/>
          <w:szCs w:val="24"/>
          <w:rtl/>
        </w:rPr>
        <w:t>)</w:t>
      </w:r>
    </w:p>
    <w:p w:rsidR="00A833A7" w:rsidRPr="00644D11" w:rsidRDefault="00A833A7" w:rsidP="00A833A7">
      <w:pPr>
        <w:autoSpaceDE w:val="0"/>
        <w:autoSpaceDN w:val="0"/>
        <w:bidi w:val="0"/>
        <w:adjustRightInd w:val="0"/>
        <w:rPr>
          <w:rFonts w:asciiTheme="minorBidi" w:hAnsiTheme="minorBidi"/>
          <w:sz w:val="24"/>
          <w:szCs w:val="24"/>
        </w:rPr>
      </w:pPr>
      <w:r w:rsidRPr="00644D11">
        <w:rPr>
          <w:rFonts w:asciiTheme="minorBidi" w:eastAsia="Calibri" w:hAnsiTheme="minorBidi"/>
          <w:color w:val="292526"/>
          <w:sz w:val="24"/>
          <w:szCs w:val="24"/>
        </w:rPr>
        <w:t xml:space="preserve">Mendel, Yonatan. and Alexa Rose Steinberg, "The Museological Side of the Conflict: Israeli Exhibition of Terror and the Palestinian Museum of Prisoners." </w:t>
      </w:r>
      <w:r w:rsidRPr="00644D11">
        <w:rPr>
          <w:rFonts w:asciiTheme="minorBidi" w:eastAsia="Calibri" w:hAnsiTheme="minorBidi"/>
          <w:color w:val="292526"/>
          <w:sz w:val="24"/>
          <w:szCs w:val="24"/>
          <w:u w:val="single"/>
        </w:rPr>
        <w:t>Museum and Society</w:t>
      </w:r>
      <w:r w:rsidRPr="00644D11">
        <w:rPr>
          <w:rFonts w:asciiTheme="minorBidi" w:eastAsia="Calibri" w:hAnsiTheme="minorBidi"/>
          <w:color w:val="292526"/>
          <w:sz w:val="24"/>
          <w:szCs w:val="24"/>
        </w:rPr>
        <w:t>, 9(3) 190-213</w:t>
      </w:r>
      <w:r w:rsidRPr="00644D11">
        <w:rPr>
          <w:rFonts w:asciiTheme="minorBidi" w:hAnsiTheme="minorBidi"/>
          <w:sz w:val="24"/>
          <w:szCs w:val="24"/>
        </w:rPr>
        <w:t xml:space="preserve"> (2011)</w:t>
      </w:r>
    </w:p>
    <w:p w:rsidR="00A833A7" w:rsidRPr="00644D11" w:rsidRDefault="00BD1251" w:rsidP="00A833A7">
      <w:pPr>
        <w:rPr>
          <w:rFonts w:asciiTheme="minorBidi" w:hAnsiTheme="minorBidi"/>
          <w:sz w:val="24"/>
          <w:szCs w:val="24"/>
          <w:u w:val="single"/>
          <w:rtl/>
        </w:rPr>
      </w:pPr>
      <w:hyperlink r:id="rId11" w:history="1">
        <w:r w:rsidR="00A833A7" w:rsidRPr="00644D11">
          <w:rPr>
            <w:rStyle w:val="Hyperlink"/>
            <w:rFonts w:asciiTheme="minorBidi" w:hAnsiTheme="minorBidi"/>
            <w:sz w:val="24"/>
            <w:szCs w:val="24"/>
          </w:rPr>
          <w:t>http://www2.le.ac.uk/departments/museumstudies/museumsociety/documents/volumes/mendelsteinberg.pdf</w:t>
        </w:r>
      </w:hyperlink>
    </w:p>
    <w:p w:rsidR="00C31270" w:rsidRPr="00644D11" w:rsidRDefault="00C31270" w:rsidP="00A91CEF">
      <w:pPr>
        <w:spacing w:line="360" w:lineRule="auto"/>
        <w:rPr>
          <w:rFonts w:asciiTheme="minorBidi" w:hAnsiTheme="minorBidi"/>
          <w:sz w:val="24"/>
          <w:szCs w:val="24"/>
          <w:u w:val="single"/>
          <w:rtl/>
        </w:rPr>
      </w:pPr>
    </w:p>
    <w:p w:rsidR="00C31270" w:rsidRPr="00A833A7" w:rsidRDefault="00C31270" w:rsidP="00A91CEF">
      <w:pPr>
        <w:spacing w:line="360" w:lineRule="auto"/>
        <w:rPr>
          <w:rFonts w:asciiTheme="minorBidi" w:hAnsiTheme="minorBidi"/>
          <w:sz w:val="24"/>
          <w:szCs w:val="24"/>
          <w:u w:val="single"/>
          <w:rtl/>
        </w:rPr>
      </w:pPr>
    </w:p>
    <w:sectPr w:rsidR="00C31270" w:rsidRPr="00A833A7" w:rsidSect="008E05E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BA" w:rsidRDefault="00DE16BA" w:rsidP="0053048D">
      <w:pPr>
        <w:spacing w:after="0" w:line="240" w:lineRule="auto"/>
      </w:pPr>
      <w:r>
        <w:separator/>
      </w:r>
    </w:p>
  </w:endnote>
  <w:endnote w:type="continuationSeparator" w:id="0">
    <w:p w:rsidR="00DE16BA" w:rsidRDefault="00DE16BA" w:rsidP="0053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8D" w:rsidRDefault="005304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8D" w:rsidRDefault="005304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8D" w:rsidRDefault="005304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BA" w:rsidRDefault="00DE16BA" w:rsidP="0053048D">
      <w:pPr>
        <w:spacing w:after="0" w:line="240" w:lineRule="auto"/>
      </w:pPr>
      <w:r>
        <w:separator/>
      </w:r>
    </w:p>
  </w:footnote>
  <w:footnote w:type="continuationSeparator" w:id="0">
    <w:p w:rsidR="00DE16BA" w:rsidRDefault="00DE16BA" w:rsidP="0053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8D" w:rsidRDefault="005304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5522149"/>
      <w:docPartObj>
        <w:docPartGallery w:val="Page Numbers (Top of Page)"/>
        <w:docPartUnique/>
      </w:docPartObj>
    </w:sdtPr>
    <w:sdtEndPr/>
    <w:sdtContent>
      <w:p w:rsidR="0053048D" w:rsidRDefault="0053048D">
        <w:pPr>
          <w:pStyle w:val="a3"/>
          <w:jc w:val="center"/>
        </w:pPr>
        <w:r>
          <w:fldChar w:fldCharType="begin"/>
        </w:r>
        <w:r>
          <w:instrText xml:space="preserve"> PAGE   \* MERGEFORMAT </w:instrText>
        </w:r>
        <w:r>
          <w:fldChar w:fldCharType="separate"/>
        </w:r>
        <w:r w:rsidR="00BD1251">
          <w:rPr>
            <w:noProof/>
            <w:rtl/>
          </w:rPr>
          <w:t>1</w:t>
        </w:r>
        <w:r>
          <w:rPr>
            <w:noProof/>
          </w:rPr>
          <w:fldChar w:fldCharType="end"/>
        </w:r>
      </w:p>
    </w:sdtContent>
  </w:sdt>
  <w:p w:rsidR="0053048D" w:rsidRDefault="005304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8D" w:rsidRDefault="005304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F"/>
    <w:rsid w:val="00023305"/>
    <w:rsid w:val="00254B2C"/>
    <w:rsid w:val="00265277"/>
    <w:rsid w:val="0029326A"/>
    <w:rsid w:val="003D2CA1"/>
    <w:rsid w:val="003F12D5"/>
    <w:rsid w:val="004D18D9"/>
    <w:rsid w:val="0053048D"/>
    <w:rsid w:val="00561D7F"/>
    <w:rsid w:val="00637E65"/>
    <w:rsid w:val="00644D11"/>
    <w:rsid w:val="006618DF"/>
    <w:rsid w:val="006E00FF"/>
    <w:rsid w:val="008568B2"/>
    <w:rsid w:val="008A4674"/>
    <w:rsid w:val="008E05EC"/>
    <w:rsid w:val="00A71FF3"/>
    <w:rsid w:val="00A833A7"/>
    <w:rsid w:val="00A91CEF"/>
    <w:rsid w:val="00B43255"/>
    <w:rsid w:val="00B44933"/>
    <w:rsid w:val="00B70C2A"/>
    <w:rsid w:val="00B96E4E"/>
    <w:rsid w:val="00BD1251"/>
    <w:rsid w:val="00C31270"/>
    <w:rsid w:val="00CA21F0"/>
    <w:rsid w:val="00CD740C"/>
    <w:rsid w:val="00CE0303"/>
    <w:rsid w:val="00D02052"/>
    <w:rsid w:val="00D36E15"/>
    <w:rsid w:val="00D556C4"/>
    <w:rsid w:val="00DE16BA"/>
    <w:rsid w:val="00E04BFF"/>
    <w:rsid w:val="00EA0714"/>
    <w:rsid w:val="00F12420"/>
    <w:rsid w:val="00F82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1CEF"/>
    <w:rPr>
      <w:color w:val="0563C1" w:themeColor="hyperlink"/>
      <w:u w:val="single"/>
    </w:rPr>
  </w:style>
  <w:style w:type="paragraph" w:styleId="a3">
    <w:name w:val="header"/>
    <w:basedOn w:val="a"/>
    <w:link w:val="a4"/>
    <w:uiPriority w:val="99"/>
    <w:unhideWhenUsed/>
    <w:rsid w:val="0053048D"/>
    <w:pPr>
      <w:tabs>
        <w:tab w:val="center" w:pos="4153"/>
        <w:tab w:val="right" w:pos="8306"/>
      </w:tabs>
      <w:spacing w:after="0" w:line="240" w:lineRule="auto"/>
    </w:pPr>
  </w:style>
  <w:style w:type="character" w:customStyle="1" w:styleId="a4">
    <w:name w:val="כותרת עליונה תו"/>
    <w:basedOn w:val="a0"/>
    <w:link w:val="a3"/>
    <w:uiPriority w:val="99"/>
    <w:rsid w:val="0053048D"/>
  </w:style>
  <w:style w:type="paragraph" w:styleId="a5">
    <w:name w:val="footer"/>
    <w:basedOn w:val="a"/>
    <w:link w:val="a6"/>
    <w:uiPriority w:val="99"/>
    <w:unhideWhenUsed/>
    <w:rsid w:val="0053048D"/>
    <w:pPr>
      <w:tabs>
        <w:tab w:val="center" w:pos="4153"/>
        <w:tab w:val="right" w:pos="8306"/>
      </w:tabs>
      <w:spacing w:after="0" w:line="240" w:lineRule="auto"/>
    </w:pPr>
  </w:style>
  <w:style w:type="character" w:customStyle="1" w:styleId="a6">
    <w:name w:val="כותרת תחתונה תו"/>
    <w:basedOn w:val="a0"/>
    <w:link w:val="a5"/>
    <w:uiPriority w:val="99"/>
    <w:rsid w:val="0053048D"/>
  </w:style>
  <w:style w:type="paragraph" w:styleId="a7">
    <w:name w:val="Balloon Text"/>
    <w:basedOn w:val="a"/>
    <w:link w:val="a8"/>
    <w:uiPriority w:val="99"/>
    <w:semiHidden/>
    <w:unhideWhenUsed/>
    <w:rsid w:val="008A4674"/>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8A4674"/>
    <w:rPr>
      <w:rFonts w:ascii="Segoe UI" w:hAnsi="Segoe UI" w:cs="Segoe UI"/>
      <w:sz w:val="18"/>
      <w:szCs w:val="18"/>
    </w:rPr>
  </w:style>
  <w:style w:type="paragraph" w:styleId="a9">
    <w:name w:val="List Paragraph"/>
    <w:basedOn w:val="a"/>
    <w:uiPriority w:val="34"/>
    <w:qFormat/>
    <w:rsid w:val="0002330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91CEF"/>
    <w:rPr>
      <w:color w:val="0563C1" w:themeColor="hyperlink"/>
      <w:u w:val="single"/>
    </w:rPr>
  </w:style>
  <w:style w:type="paragraph" w:styleId="a3">
    <w:name w:val="header"/>
    <w:basedOn w:val="a"/>
    <w:link w:val="a4"/>
    <w:uiPriority w:val="99"/>
    <w:unhideWhenUsed/>
    <w:rsid w:val="0053048D"/>
    <w:pPr>
      <w:tabs>
        <w:tab w:val="center" w:pos="4153"/>
        <w:tab w:val="right" w:pos="8306"/>
      </w:tabs>
      <w:spacing w:after="0" w:line="240" w:lineRule="auto"/>
    </w:pPr>
  </w:style>
  <w:style w:type="character" w:customStyle="1" w:styleId="a4">
    <w:name w:val="כותרת עליונה תו"/>
    <w:basedOn w:val="a0"/>
    <w:link w:val="a3"/>
    <w:uiPriority w:val="99"/>
    <w:rsid w:val="0053048D"/>
  </w:style>
  <w:style w:type="paragraph" w:styleId="a5">
    <w:name w:val="footer"/>
    <w:basedOn w:val="a"/>
    <w:link w:val="a6"/>
    <w:uiPriority w:val="99"/>
    <w:unhideWhenUsed/>
    <w:rsid w:val="0053048D"/>
    <w:pPr>
      <w:tabs>
        <w:tab w:val="center" w:pos="4153"/>
        <w:tab w:val="right" w:pos="8306"/>
      </w:tabs>
      <w:spacing w:after="0" w:line="240" w:lineRule="auto"/>
    </w:pPr>
  </w:style>
  <w:style w:type="character" w:customStyle="1" w:styleId="a6">
    <w:name w:val="כותרת תחתונה תו"/>
    <w:basedOn w:val="a0"/>
    <w:link w:val="a5"/>
    <w:uiPriority w:val="99"/>
    <w:rsid w:val="0053048D"/>
  </w:style>
  <w:style w:type="paragraph" w:styleId="a7">
    <w:name w:val="Balloon Text"/>
    <w:basedOn w:val="a"/>
    <w:link w:val="a8"/>
    <w:uiPriority w:val="99"/>
    <w:semiHidden/>
    <w:unhideWhenUsed/>
    <w:rsid w:val="008A4674"/>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8A4674"/>
    <w:rPr>
      <w:rFonts w:ascii="Segoe UI" w:hAnsi="Segoe UI" w:cs="Segoe UI"/>
      <w:sz w:val="18"/>
      <w:szCs w:val="18"/>
    </w:rPr>
  </w:style>
  <w:style w:type="paragraph" w:styleId="a9">
    <w:name w:val="List Paragraph"/>
    <w:basedOn w:val="a"/>
    <w:uiPriority w:val="34"/>
    <w:qFormat/>
    <w:rsid w:val="000233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ri1@netvision.net.i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le.ac.uk/departments/museumstudies/museumsociety/documents/volumes/mendelsteinber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le.ac.uk/departments/museumstudies/museumsociety/documents/volumes/wats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le.ac.uk/departments/museumstudies/museumsociety/documents/volumes/mands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6005</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shmulik</dc:creator>
  <cp:lastModifiedBy>אירית בכר</cp:lastModifiedBy>
  <cp:revision>2</cp:revision>
  <cp:lastPrinted>2016-10-25T10:19:00Z</cp:lastPrinted>
  <dcterms:created xsi:type="dcterms:W3CDTF">2018-07-31T05:29:00Z</dcterms:created>
  <dcterms:modified xsi:type="dcterms:W3CDTF">2018-07-31T05:29:00Z</dcterms:modified>
</cp:coreProperties>
</file>