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5E424" w14:textId="77777777" w:rsidR="00292E38" w:rsidRDefault="00292E38" w:rsidP="00292E38">
      <w:pPr>
        <w:tabs>
          <w:tab w:val="left" w:pos="720"/>
        </w:tabs>
        <w:ind w:left="630" w:right="1170" w:firstLine="720"/>
        <w:jc w:val="center"/>
        <w:rPr>
          <w:rtl/>
        </w:rPr>
      </w:pPr>
      <w:r>
        <w:rPr>
          <w:rFonts w:hint="cs"/>
          <w:rtl/>
        </w:rPr>
        <w:t xml:space="preserve">מבוא לתרבות חזותית </w:t>
      </w:r>
    </w:p>
    <w:p w14:paraId="14EE0A87" w14:textId="77777777" w:rsidR="00292E38" w:rsidRDefault="00292E38" w:rsidP="00292E38">
      <w:pPr>
        <w:ind w:left="720"/>
        <w:rPr>
          <w:rtl/>
        </w:rPr>
      </w:pPr>
      <w:r>
        <w:rPr>
          <w:rFonts w:eastAsia="Times New Roman" w:hint="cs"/>
        </w:rPr>
        <w:t xml:space="preserve">Introduction to Visual Culture                                   </w:t>
      </w:r>
    </w:p>
    <w:p w14:paraId="0B16A188" w14:textId="77777777" w:rsidR="00311C92" w:rsidRDefault="00292E38" w:rsidP="00292E38">
      <w:pPr>
        <w:jc w:val="center"/>
        <w:rPr>
          <w:rtl/>
        </w:rPr>
      </w:pPr>
      <w:r>
        <w:rPr>
          <w:rtl/>
        </w:rPr>
        <w:t>ד"ר אורלי שבי</w:t>
      </w:r>
      <w:r>
        <w:rPr>
          <w:rFonts w:hint="cs"/>
          <w:rtl/>
        </w:rPr>
        <w:t xml:space="preserve">, </w:t>
      </w:r>
    </w:p>
    <w:p w14:paraId="7E3F92A1" w14:textId="77777777" w:rsidR="00311C92" w:rsidRDefault="00292E38" w:rsidP="00292E38">
      <w:pPr>
        <w:jc w:val="center"/>
      </w:pPr>
      <w:r>
        <w:t>Orly Shevi, Ph.D.</w:t>
      </w:r>
    </w:p>
    <w:p w14:paraId="67E91B7A" w14:textId="77777777" w:rsidR="00292E38" w:rsidRDefault="00311C92" w:rsidP="00292E38">
      <w:pPr>
        <w:jc w:val="center"/>
        <w:rPr>
          <w:rtl/>
        </w:rPr>
      </w:pPr>
      <w:r>
        <w:rPr>
          <w:rtl/>
        </w:rPr>
        <w:t xml:space="preserve"> </w:t>
      </w:r>
      <w:r w:rsidR="00292E38">
        <w:rPr>
          <w:rtl/>
        </w:rPr>
        <w:t>שיעור חובה: 2 ש"ש</w:t>
      </w:r>
    </w:p>
    <w:p w14:paraId="74D01439" w14:textId="77777777" w:rsidR="00292E38" w:rsidRDefault="00292E38" w:rsidP="00292E38">
      <w:pPr>
        <w:jc w:val="center"/>
        <w:rPr>
          <w:rtl/>
        </w:rPr>
      </w:pPr>
      <w:r>
        <w:rPr>
          <w:rtl/>
        </w:rPr>
        <w:t xml:space="preserve">סמסטר </w:t>
      </w:r>
      <w:r>
        <w:rPr>
          <w:rFonts w:hint="cs"/>
          <w:rtl/>
        </w:rPr>
        <w:t>ב</w:t>
      </w:r>
      <w:r>
        <w:rPr>
          <w:rtl/>
        </w:rPr>
        <w:t xml:space="preserve">' </w:t>
      </w:r>
    </w:p>
    <w:p w14:paraId="6DA4C70A" w14:textId="77777777" w:rsidR="00292E38" w:rsidRDefault="00292E38" w:rsidP="00292E38">
      <w:pPr>
        <w:jc w:val="center"/>
        <w:rPr>
          <w:rtl/>
        </w:rPr>
      </w:pPr>
      <w:r>
        <w:rPr>
          <w:rtl/>
        </w:rPr>
        <w:t xml:space="preserve">יום א' </w:t>
      </w:r>
      <w:r>
        <w:rPr>
          <w:rFonts w:hint="cs"/>
          <w:rtl/>
        </w:rPr>
        <w:t>14:30-16:00</w:t>
      </w:r>
    </w:p>
    <w:p w14:paraId="6574C00B" w14:textId="77777777" w:rsidR="00292E38" w:rsidRDefault="00292E38" w:rsidP="00292E38">
      <w:pPr>
        <w:jc w:val="center"/>
        <w:rPr>
          <w:rtl/>
        </w:rPr>
      </w:pPr>
    </w:p>
    <w:p w14:paraId="4AF8581D" w14:textId="77777777" w:rsidR="00292E38" w:rsidRDefault="00292E38" w:rsidP="00292E38">
      <w:pPr>
        <w:jc w:val="center"/>
        <w:rPr>
          <w:rtl/>
        </w:rPr>
      </w:pPr>
    </w:p>
    <w:p w14:paraId="34591C83" w14:textId="77777777" w:rsidR="00292E38" w:rsidRDefault="00292E38" w:rsidP="00292E38">
      <w:pPr>
        <w:jc w:val="center"/>
        <w:rPr>
          <w:rtl/>
        </w:rPr>
      </w:pPr>
      <w:bookmarkStart w:id="0" w:name="_GoBack"/>
      <w:bookmarkEnd w:id="0"/>
    </w:p>
    <w:p w14:paraId="59A7AE79" w14:textId="77777777" w:rsidR="00292E38" w:rsidRDefault="00292E38" w:rsidP="00292E38">
      <w:pPr>
        <w:jc w:val="both"/>
        <w:rPr>
          <w:rtl/>
        </w:rPr>
      </w:pPr>
    </w:p>
    <w:p w14:paraId="10DD2C7B" w14:textId="77777777" w:rsidR="00292E38" w:rsidRDefault="00292E38" w:rsidP="00292E38">
      <w:pPr>
        <w:jc w:val="both"/>
        <w:rPr>
          <w:rtl/>
        </w:rPr>
      </w:pPr>
    </w:p>
    <w:p w14:paraId="100019F7" w14:textId="77777777" w:rsidR="00292E38" w:rsidRDefault="00292E38" w:rsidP="00292E38">
      <w:pPr>
        <w:jc w:val="both"/>
        <w:rPr>
          <w:rtl/>
        </w:rPr>
      </w:pPr>
    </w:p>
    <w:p w14:paraId="6EF0E3CE" w14:textId="3D94E31A" w:rsidR="00292E38" w:rsidRDefault="00D201F6" w:rsidP="00292E38">
      <w:pPr>
        <w:jc w:val="both"/>
        <w:rPr>
          <w:rtl/>
        </w:rPr>
      </w:pPr>
      <w:r>
        <w:rPr>
          <w:rFonts w:hint="cs"/>
          <w:rtl/>
        </w:rPr>
        <w:t>תמצית הקורס ומטרותיו</w:t>
      </w:r>
      <w:r w:rsidR="00292E38">
        <w:rPr>
          <w:rFonts w:hint="cs"/>
          <w:rtl/>
        </w:rPr>
        <w:t>:</w:t>
      </w:r>
    </w:p>
    <w:p w14:paraId="2A605631" w14:textId="77777777" w:rsidR="00292E38" w:rsidRDefault="00292E38" w:rsidP="00292E38">
      <w:pPr>
        <w:jc w:val="both"/>
        <w:rPr>
          <w:rtl/>
        </w:rPr>
      </w:pPr>
    </w:p>
    <w:p w14:paraId="4CD74F1F" w14:textId="77777777" w:rsidR="00292E38" w:rsidRDefault="00292E38" w:rsidP="00292E38">
      <w:pPr>
        <w:jc w:val="both"/>
        <w:rPr>
          <w:rtl/>
        </w:rPr>
      </w:pPr>
      <w:r>
        <w:rPr>
          <w:rFonts w:hint="cs"/>
          <w:rtl/>
        </w:rPr>
        <w:t xml:space="preserve">המושג "תרבות חזותית" חדר לדיון האקדמי כשדה מחקר בסוף שנות השבעים, על רקע המשבר המחקרי וקריסת ערכי המדרג המודרניסטיים. משבר זה לווה בהבנה כי הדימויים על כל סוגיהם </w:t>
      </w:r>
      <w:r>
        <w:rPr>
          <w:rtl/>
        </w:rPr>
        <w:t>–</w:t>
      </w:r>
      <w:r>
        <w:rPr>
          <w:rFonts w:hint="cs"/>
          <w:rtl/>
        </w:rPr>
        <w:t xml:space="preserve"> מציורים, צילומים וסרטים ועד דימויים של מציאות וירטואלית </w:t>
      </w:r>
      <w:r>
        <w:rPr>
          <w:rtl/>
        </w:rPr>
        <w:t>–</w:t>
      </w:r>
      <w:r>
        <w:rPr>
          <w:rFonts w:hint="cs"/>
          <w:rtl/>
        </w:rPr>
        <w:t xml:space="preserve"> נהפכו למרכזיים ודומיננטיים בחיי היומיום. כמו כן, התפתחויות טכנולוגיות אפשרו את עיצובם של מכשירים המגבירים את יכולת הראייה הטבעית של האדם, כמו גם ייצור וצריכה של דימויים בקלות יתרה. הצורך להבין את משמעותם של דימויים ואת השפעתם על הסובייקט כיחיד ועל התרבות ככלל עומד במרכזו של תחום מחקר זה. בשיעור נסקור חיבורים של הוגים מרכזיים כגון מרקס, פרויד ופוקו, שעיצבו וניסחו שאלות מרכזיות בשדות מחקר שונים, אולם הללו נהפכו למשמעותיים גם בהבנת תהליכים בתרבות החזותית. באמצעותם נגבש ונעצב את הכלים האנליטיים ואת המושגים המאפשרים ניתוח ביקורתי ליצרני ולצרכני הדימויים בחברה ובתרבות העכשוויות. בין שאר הנושאים נעמוד על שאלות של יחסי כוח ומישטור, תרבות הצריכה והראווה, פסיכואנליזה ויחסי מגדר, פוסט-קולוניאליזם וגלובליזציה. </w:t>
      </w:r>
    </w:p>
    <w:p w14:paraId="7B033060" w14:textId="77777777" w:rsidR="00292E38" w:rsidRDefault="00292E38" w:rsidP="00292E38"/>
    <w:p w14:paraId="4463C417" w14:textId="77777777" w:rsidR="00292E38" w:rsidRDefault="00292E38" w:rsidP="00292E38">
      <w:pPr>
        <w:jc w:val="center"/>
      </w:pPr>
    </w:p>
    <w:p w14:paraId="426691E1" w14:textId="77777777" w:rsidR="00292E38" w:rsidRDefault="00292E38" w:rsidP="00292E38">
      <w:pPr>
        <w:rPr>
          <w:rStyle w:val="Hyperlink"/>
        </w:rPr>
      </w:pPr>
      <w:r>
        <w:rPr>
          <w:rtl/>
        </w:rPr>
        <w:t xml:space="preserve">כתובת: </w:t>
      </w:r>
      <w:hyperlink r:id="rId5" w:history="1">
        <w:r w:rsidRPr="00471882">
          <w:rPr>
            <w:rStyle w:val="Hyperlink"/>
          </w:rPr>
          <w:t>oshevi@gmail.com</w:t>
        </w:r>
      </w:hyperlink>
    </w:p>
    <w:p w14:paraId="73F73150" w14:textId="77777777" w:rsidR="00292E38" w:rsidRPr="00AB6C3E" w:rsidRDefault="00292E38" w:rsidP="00292E38">
      <w:pPr>
        <w:rPr>
          <w:rtl/>
        </w:rPr>
      </w:pPr>
      <w:r>
        <w:rPr>
          <w:rtl/>
        </w:rPr>
        <w:t>שעת קבלה: בתאום מראש</w:t>
      </w:r>
      <w:r>
        <w:t>.</w:t>
      </w:r>
    </w:p>
    <w:p w14:paraId="6D2BBC53" w14:textId="2C5CFB35" w:rsidR="00292E38" w:rsidRDefault="0062389B" w:rsidP="00292E38">
      <w:pPr>
        <w:jc w:val="both"/>
        <w:rPr>
          <w:rtl/>
        </w:rPr>
      </w:pPr>
      <w:r>
        <w:rPr>
          <w:rFonts w:hint="cs"/>
          <w:rtl/>
        </w:rPr>
        <w:t>מטלות הסטודנטים במהלך הקורס ואופן חישוב הציון</w:t>
      </w:r>
      <w:r w:rsidR="00292E38">
        <w:rPr>
          <w:rtl/>
        </w:rPr>
        <w:t>: נוכחות בשיעור, בקיאות בטקסטים נבחרים ובחינה מסכמת בסוף הסמסטר.</w:t>
      </w:r>
    </w:p>
    <w:p w14:paraId="41E4BC81" w14:textId="77777777" w:rsidR="00292E38" w:rsidRDefault="00292E38" w:rsidP="00292E38">
      <w:pPr>
        <w:rPr>
          <w:rtl/>
        </w:rPr>
      </w:pPr>
      <w:r>
        <w:rPr>
          <w:rtl/>
        </w:rPr>
        <w:t>מרכיבי הציון הסופי: בחינה מסכמת</w:t>
      </w:r>
      <w:r>
        <w:rPr>
          <w:rFonts w:hint="cs"/>
          <w:rtl/>
        </w:rPr>
        <w:t xml:space="preserve"> בסוף הסימסטר</w:t>
      </w:r>
      <w:r>
        <w:rPr>
          <w:rtl/>
        </w:rPr>
        <w:t xml:space="preserve">. </w:t>
      </w:r>
    </w:p>
    <w:p w14:paraId="7F20808B" w14:textId="77777777" w:rsidR="00930651" w:rsidRDefault="00930651">
      <w:pPr>
        <w:rPr>
          <w:rtl/>
        </w:rPr>
      </w:pPr>
    </w:p>
    <w:p w14:paraId="1CF052FA" w14:textId="77777777" w:rsidR="00292E38" w:rsidRDefault="00292E38">
      <w:pPr>
        <w:rPr>
          <w:rtl/>
        </w:rPr>
      </w:pPr>
    </w:p>
    <w:p w14:paraId="5BE29424" w14:textId="77777777" w:rsidR="0022316F" w:rsidRDefault="0022316F">
      <w:pPr>
        <w:rPr>
          <w:rtl/>
        </w:rPr>
      </w:pPr>
    </w:p>
    <w:p w14:paraId="4AAC0BAC" w14:textId="775AF7A6" w:rsidR="00292E38" w:rsidRDefault="00D201F6">
      <w:pPr>
        <w:rPr>
          <w:rtl/>
        </w:rPr>
      </w:pPr>
      <w:r>
        <w:rPr>
          <w:rFonts w:hint="cs"/>
          <w:rtl/>
        </w:rPr>
        <w:t>מהלך הקורס על פי מפגשים</w:t>
      </w:r>
      <w:r w:rsidR="00292E38">
        <w:rPr>
          <w:rFonts w:hint="cs"/>
          <w:rtl/>
        </w:rPr>
        <w:t>:</w:t>
      </w:r>
    </w:p>
    <w:p w14:paraId="77DB81F4" w14:textId="77777777" w:rsidR="00D201F6" w:rsidRDefault="00D201F6">
      <w:pPr>
        <w:rPr>
          <w:rtl/>
        </w:rPr>
      </w:pPr>
    </w:p>
    <w:p w14:paraId="3B156826" w14:textId="779C3AC3" w:rsidR="00D201F6" w:rsidRDefault="00D201F6" w:rsidP="00D201F6">
      <w:pPr>
        <w:pStyle w:val="ListParagraph"/>
        <w:numPr>
          <w:ilvl w:val="0"/>
          <w:numId w:val="1"/>
        </w:numPr>
      </w:pPr>
      <w:r>
        <w:rPr>
          <w:rFonts w:hint="cs"/>
          <w:rtl/>
        </w:rPr>
        <w:t xml:space="preserve">מבוא </w:t>
      </w:r>
      <w:r>
        <w:rPr>
          <w:rtl/>
        </w:rPr>
        <w:t>–</w:t>
      </w:r>
      <w:r>
        <w:rPr>
          <w:rFonts w:hint="cs"/>
          <w:rtl/>
        </w:rPr>
        <w:t xml:space="preserve"> מהי תרבות חזותית</w:t>
      </w:r>
    </w:p>
    <w:p w14:paraId="68E36B67" w14:textId="20B7D6D8" w:rsidR="00D201F6" w:rsidRDefault="00D201F6" w:rsidP="00D201F6">
      <w:pPr>
        <w:pStyle w:val="ListParagraph"/>
        <w:numPr>
          <w:ilvl w:val="0"/>
          <w:numId w:val="1"/>
        </w:numPr>
      </w:pPr>
      <w:r>
        <w:rPr>
          <w:rFonts w:hint="cs"/>
          <w:rtl/>
        </w:rPr>
        <w:t xml:space="preserve">על ההתבוננות- דיון בחיבורו של ג'ון </w:t>
      </w:r>
      <w:proofErr w:type="spellStart"/>
      <w:r>
        <w:rPr>
          <w:rFonts w:hint="cs"/>
          <w:rtl/>
        </w:rPr>
        <w:t>בירגר</w:t>
      </w:r>
      <w:proofErr w:type="spellEnd"/>
    </w:p>
    <w:p w14:paraId="42570DC3" w14:textId="4FBD2340" w:rsidR="00D201F6" w:rsidRDefault="00D201F6" w:rsidP="00D201F6">
      <w:pPr>
        <w:pStyle w:val="ListParagraph"/>
        <w:numPr>
          <w:ilvl w:val="0"/>
          <w:numId w:val="1"/>
        </w:numPr>
      </w:pPr>
      <w:r>
        <w:rPr>
          <w:rFonts w:hint="cs"/>
          <w:rtl/>
        </w:rPr>
        <w:t xml:space="preserve">אסכולת פרנקפורט </w:t>
      </w:r>
      <w:r>
        <w:rPr>
          <w:rtl/>
        </w:rPr>
        <w:t>–</w:t>
      </w:r>
      <w:r>
        <w:rPr>
          <w:rFonts w:hint="cs"/>
          <w:rtl/>
        </w:rPr>
        <w:t xml:space="preserve"> דיון בחיבורו של וולטר בנימין </w:t>
      </w:r>
    </w:p>
    <w:p w14:paraId="7F21B4C1" w14:textId="77777777" w:rsidR="00D201F6" w:rsidRDefault="00D201F6" w:rsidP="00D201F6">
      <w:pPr>
        <w:pStyle w:val="ListParagraph"/>
        <w:numPr>
          <w:ilvl w:val="0"/>
          <w:numId w:val="1"/>
        </w:numPr>
      </w:pPr>
      <w:r>
        <w:rPr>
          <w:rFonts w:hint="cs"/>
          <w:rtl/>
        </w:rPr>
        <w:t xml:space="preserve">סמיוטיקה חזותית </w:t>
      </w:r>
      <w:r>
        <w:rPr>
          <w:rtl/>
        </w:rPr>
        <w:t>–</w:t>
      </w:r>
      <w:r>
        <w:rPr>
          <w:rFonts w:hint="cs"/>
          <w:rtl/>
        </w:rPr>
        <w:t xml:space="preserve"> דיון בחיבורו של רולאן </w:t>
      </w:r>
      <w:proofErr w:type="spellStart"/>
      <w:r>
        <w:rPr>
          <w:rFonts w:hint="cs"/>
          <w:rtl/>
        </w:rPr>
        <w:t>בארת</w:t>
      </w:r>
      <w:proofErr w:type="spellEnd"/>
      <w:r>
        <w:rPr>
          <w:rFonts w:hint="cs"/>
          <w:rtl/>
        </w:rPr>
        <w:t>'</w:t>
      </w:r>
    </w:p>
    <w:p w14:paraId="7D5DE006" w14:textId="77777777" w:rsidR="00D201F6" w:rsidRDefault="00D201F6" w:rsidP="00D201F6">
      <w:pPr>
        <w:pStyle w:val="ListParagraph"/>
        <w:numPr>
          <w:ilvl w:val="0"/>
          <w:numId w:val="1"/>
        </w:numPr>
      </w:pPr>
      <w:r>
        <w:rPr>
          <w:rFonts w:hint="cs"/>
          <w:rtl/>
        </w:rPr>
        <w:t xml:space="preserve">פסיכואנליזה </w:t>
      </w:r>
      <w:r>
        <w:rPr>
          <w:rtl/>
        </w:rPr>
        <w:t>–</w:t>
      </w:r>
      <w:r>
        <w:rPr>
          <w:rFonts w:hint="cs"/>
          <w:rtl/>
        </w:rPr>
        <w:t xml:space="preserve"> דיון בחיבורו של זיגמונד פרויד</w:t>
      </w:r>
    </w:p>
    <w:p w14:paraId="060D7C76" w14:textId="23A27020" w:rsidR="00D201F6" w:rsidRDefault="00D201F6" w:rsidP="00D201F6">
      <w:pPr>
        <w:pStyle w:val="ListParagraph"/>
        <w:numPr>
          <w:ilvl w:val="0"/>
          <w:numId w:val="1"/>
        </w:numPr>
      </w:pPr>
      <w:r>
        <w:rPr>
          <w:rFonts w:hint="cs"/>
          <w:rtl/>
        </w:rPr>
        <w:t xml:space="preserve">פסיכואנליזה </w:t>
      </w:r>
      <w:r>
        <w:rPr>
          <w:rtl/>
        </w:rPr>
        <w:t>–</w:t>
      </w:r>
      <w:r>
        <w:rPr>
          <w:rFonts w:hint="cs"/>
          <w:rtl/>
        </w:rPr>
        <w:t xml:space="preserve"> המשך</w:t>
      </w:r>
    </w:p>
    <w:p w14:paraId="3A11E0F3" w14:textId="77777777" w:rsidR="00D201F6" w:rsidRDefault="00D201F6" w:rsidP="00D201F6">
      <w:pPr>
        <w:pStyle w:val="ListParagraph"/>
        <w:numPr>
          <w:ilvl w:val="0"/>
          <w:numId w:val="1"/>
        </w:numPr>
      </w:pPr>
      <w:r>
        <w:rPr>
          <w:rFonts w:hint="cs"/>
          <w:rtl/>
        </w:rPr>
        <w:t xml:space="preserve">כוח, ידע ומשטור המבט </w:t>
      </w:r>
      <w:r>
        <w:rPr>
          <w:rtl/>
        </w:rPr>
        <w:t>–</w:t>
      </w:r>
      <w:r>
        <w:rPr>
          <w:rFonts w:hint="cs"/>
          <w:rtl/>
        </w:rPr>
        <w:t xml:space="preserve"> דיון בחיבורו של מישל פוקו</w:t>
      </w:r>
    </w:p>
    <w:p w14:paraId="48926244" w14:textId="0D0BF32D" w:rsidR="00D201F6" w:rsidRDefault="00D201F6" w:rsidP="00D201F6">
      <w:pPr>
        <w:pStyle w:val="ListParagraph"/>
        <w:numPr>
          <w:ilvl w:val="0"/>
          <w:numId w:val="1"/>
        </w:numPr>
      </w:pPr>
      <w:r>
        <w:rPr>
          <w:rFonts w:hint="cs"/>
          <w:rtl/>
        </w:rPr>
        <w:t xml:space="preserve">כוח, ידע ומשטור המבט </w:t>
      </w:r>
      <w:r>
        <w:rPr>
          <w:rtl/>
        </w:rPr>
        <w:t>–</w:t>
      </w:r>
      <w:r>
        <w:rPr>
          <w:rFonts w:hint="cs"/>
          <w:rtl/>
        </w:rPr>
        <w:t xml:space="preserve"> המשך</w:t>
      </w:r>
    </w:p>
    <w:p w14:paraId="23CC49CE" w14:textId="77777777" w:rsidR="00D201F6" w:rsidRDefault="00D201F6" w:rsidP="00D201F6">
      <w:pPr>
        <w:pStyle w:val="ListParagraph"/>
        <w:numPr>
          <w:ilvl w:val="0"/>
          <w:numId w:val="1"/>
        </w:numPr>
      </w:pPr>
      <w:r>
        <w:rPr>
          <w:rFonts w:hint="cs"/>
          <w:rtl/>
        </w:rPr>
        <w:lastRenderedPageBreak/>
        <w:t xml:space="preserve">ביקורת פמיניסטית ומגדר </w:t>
      </w:r>
      <w:r>
        <w:rPr>
          <w:rtl/>
        </w:rPr>
        <w:t>–</w:t>
      </w:r>
      <w:r>
        <w:rPr>
          <w:rFonts w:hint="cs"/>
          <w:rtl/>
        </w:rPr>
        <w:t xml:space="preserve"> דיון בחיבורה של לורה מאלווי</w:t>
      </w:r>
    </w:p>
    <w:p w14:paraId="180A29CC" w14:textId="77777777" w:rsidR="00D201F6" w:rsidRDefault="00D201F6" w:rsidP="00D201F6">
      <w:pPr>
        <w:pStyle w:val="ListParagraph"/>
        <w:numPr>
          <w:ilvl w:val="0"/>
          <w:numId w:val="1"/>
        </w:numPr>
      </w:pPr>
      <w:r>
        <w:rPr>
          <w:rFonts w:hint="cs"/>
          <w:rtl/>
        </w:rPr>
        <w:t>אוריינטליזם ופוסט-קולוניאלי</w:t>
      </w:r>
      <w:r>
        <w:rPr>
          <w:rtl/>
        </w:rPr>
        <w:t>זם</w:t>
      </w:r>
      <w:r>
        <w:rPr>
          <w:rFonts w:hint="cs"/>
          <w:rtl/>
        </w:rPr>
        <w:t xml:space="preserve"> </w:t>
      </w:r>
      <w:r>
        <w:rPr>
          <w:rtl/>
        </w:rPr>
        <w:t>–</w:t>
      </w:r>
      <w:r>
        <w:rPr>
          <w:rFonts w:hint="cs"/>
          <w:rtl/>
        </w:rPr>
        <w:t xml:space="preserve"> דיון בחיבורו של אדוארד סעיד</w:t>
      </w:r>
    </w:p>
    <w:p w14:paraId="5F3CDBD9" w14:textId="77777777" w:rsidR="00D201F6" w:rsidRDefault="00D201F6" w:rsidP="00D201F6">
      <w:pPr>
        <w:pStyle w:val="ListParagraph"/>
        <w:numPr>
          <w:ilvl w:val="0"/>
          <w:numId w:val="1"/>
        </w:numPr>
      </w:pPr>
      <w:r>
        <w:rPr>
          <w:rFonts w:hint="cs"/>
          <w:rtl/>
        </w:rPr>
        <w:t>אוריינטליז</w:t>
      </w:r>
      <w:r>
        <w:rPr>
          <w:rtl/>
        </w:rPr>
        <w:t>ם</w:t>
      </w:r>
      <w:r>
        <w:rPr>
          <w:rFonts w:hint="cs"/>
          <w:rtl/>
        </w:rPr>
        <w:t xml:space="preserve"> ופוסט-קולוניאליז</w:t>
      </w:r>
      <w:r>
        <w:rPr>
          <w:rtl/>
        </w:rPr>
        <w:t>ם</w:t>
      </w:r>
      <w:r>
        <w:rPr>
          <w:rFonts w:hint="cs"/>
          <w:rtl/>
        </w:rPr>
        <w:t xml:space="preserve"> </w:t>
      </w:r>
      <w:r>
        <w:rPr>
          <w:rtl/>
        </w:rPr>
        <w:t>–</w:t>
      </w:r>
      <w:r>
        <w:rPr>
          <w:rFonts w:hint="cs"/>
          <w:rtl/>
        </w:rPr>
        <w:t xml:space="preserve"> המקרה המקומי</w:t>
      </w:r>
    </w:p>
    <w:p w14:paraId="19D1EA13" w14:textId="77777777" w:rsidR="00D201F6" w:rsidRDefault="00D201F6" w:rsidP="00D201F6">
      <w:pPr>
        <w:pStyle w:val="ListParagraph"/>
        <w:numPr>
          <w:ilvl w:val="0"/>
          <w:numId w:val="1"/>
        </w:numPr>
      </w:pPr>
      <w:r>
        <w:rPr>
          <w:rFonts w:hint="cs"/>
          <w:rtl/>
        </w:rPr>
        <w:t xml:space="preserve">קפיטליזם מאוחר והדימוי </w:t>
      </w:r>
      <w:r>
        <w:rPr>
          <w:rtl/>
        </w:rPr>
        <w:t>–</w:t>
      </w:r>
      <w:r>
        <w:rPr>
          <w:rFonts w:hint="cs"/>
          <w:rtl/>
        </w:rPr>
        <w:t xml:space="preserve"> דיון בחיבורו של ז'אן </w:t>
      </w:r>
      <w:proofErr w:type="spellStart"/>
      <w:r>
        <w:rPr>
          <w:rFonts w:hint="cs"/>
          <w:rtl/>
        </w:rPr>
        <w:t>בודריאר</w:t>
      </w:r>
      <w:proofErr w:type="spellEnd"/>
    </w:p>
    <w:p w14:paraId="62E03E26" w14:textId="412AAC4E" w:rsidR="00D201F6" w:rsidRDefault="00D201F6" w:rsidP="00D201F6">
      <w:pPr>
        <w:pStyle w:val="ListParagraph"/>
        <w:numPr>
          <w:ilvl w:val="0"/>
          <w:numId w:val="1"/>
        </w:numPr>
        <w:rPr>
          <w:rtl/>
        </w:rPr>
      </w:pPr>
      <w:r>
        <w:rPr>
          <w:rFonts w:hint="cs"/>
          <w:rtl/>
        </w:rPr>
        <w:t xml:space="preserve">הדימוי הדיגיטלי </w:t>
      </w:r>
      <w:r>
        <w:rPr>
          <w:rtl/>
        </w:rPr>
        <w:t>–</w:t>
      </w:r>
      <w:r>
        <w:rPr>
          <w:rFonts w:hint="cs"/>
          <w:rtl/>
        </w:rPr>
        <w:t xml:space="preserve"> דיון במאמרו של לב </w:t>
      </w:r>
      <w:proofErr w:type="spellStart"/>
      <w:r>
        <w:rPr>
          <w:rFonts w:hint="cs"/>
          <w:rtl/>
        </w:rPr>
        <w:t>מנוביץ</w:t>
      </w:r>
      <w:proofErr w:type="spellEnd"/>
      <w:r>
        <w:rPr>
          <w:rFonts w:hint="cs"/>
          <w:rtl/>
        </w:rPr>
        <w:t xml:space="preserve">'   </w:t>
      </w:r>
    </w:p>
    <w:p w14:paraId="4548B0EE" w14:textId="77777777" w:rsidR="00292E38" w:rsidRDefault="00292E38">
      <w:pPr>
        <w:rPr>
          <w:rtl/>
        </w:rPr>
      </w:pPr>
    </w:p>
    <w:p w14:paraId="10B88670" w14:textId="77777777" w:rsidR="00811228" w:rsidRDefault="00811228" w:rsidP="00811228">
      <w:pPr>
        <w:rPr>
          <w:u w:val="single"/>
          <w:rtl/>
        </w:rPr>
      </w:pPr>
    </w:p>
    <w:p w14:paraId="26E6D64B" w14:textId="12766707" w:rsidR="0022316F" w:rsidRDefault="00A61869" w:rsidP="00811228">
      <w:pPr>
        <w:rPr>
          <w:rtl/>
        </w:rPr>
      </w:pPr>
      <w:r w:rsidRPr="00A61869">
        <w:rPr>
          <w:rFonts w:hint="cs"/>
          <w:rtl/>
        </w:rPr>
        <w:t xml:space="preserve">קריאת חובה: </w:t>
      </w:r>
    </w:p>
    <w:p w14:paraId="0D6114B6" w14:textId="34C052CA" w:rsidR="00A61869" w:rsidRPr="00A61869" w:rsidRDefault="00A61869" w:rsidP="00A61869">
      <w:pPr>
        <w:spacing w:before="120" w:after="120"/>
        <w:ind w:left="454" w:hanging="454"/>
        <w:rPr>
          <w:rFonts w:asciiTheme="majorBidi" w:hAnsiTheme="majorBidi" w:cstheme="majorBidi"/>
          <w:rtl/>
        </w:rPr>
      </w:pPr>
      <w:proofErr w:type="spellStart"/>
      <w:r w:rsidRPr="00A61869">
        <w:rPr>
          <w:rFonts w:asciiTheme="majorBidi" w:hAnsiTheme="majorBidi" w:cstheme="majorBidi"/>
          <w:rtl/>
        </w:rPr>
        <w:t>בארת</w:t>
      </w:r>
      <w:proofErr w:type="spellEnd"/>
      <w:r w:rsidRPr="00A61869">
        <w:rPr>
          <w:rFonts w:asciiTheme="majorBidi" w:hAnsiTheme="majorBidi" w:cstheme="majorBidi"/>
          <w:rtl/>
        </w:rPr>
        <w:t xml:space="preserve"> רולאן, "הרטוריקה של הדימוי", מתוך</w:t>
      </w:r>
      <w:r>
        <w:rPr>
          <w:rFonts w:asciiTheme="majorBidi" w:hAnsiTheme="majorBidi" w:cstheme="majorBidi" w:hint="cs"/>
          <w:rtl/>
        </w:rPr>
        <w:t>:</w:t>
      </w:r>
      <w:r w:rsidRPr="00A61869">
        <w:rPr>
          <w:rFonts w:asciiTheme="majorBidi" w:hAnsiTheme="majorBidi" w:cstheme="majorBidi"/>
          <w:rtl/>
        </w:rPr>
        <w:t xml:space="preserve"> תמר </w:t>
      </w:r>
      <w:proofErr w:type="spellStart"/>
      <w:r w:rsidRPr="00A61869">
        <w:rPr>
          <w:rFonts w:asciiTheme="majorBidi" w:hAnsiTheme="majorBidi" w:cstheme="majorBidi"/>
          <w:rtl/>
        </w:rPr>
        <w:t>ליבס</w:t>
      </w:r>
      <w:proofErr w:type="spellEnd"/>
      <w:r w:rsidRPr="00A61869">
        <w:rPr>
          <w:rFonts w:asciiTheme="majorBidi" w:hAnsiTheme="majorBidi" w:cstheme="majorBidi"/>
          <w:rtl/>
        </w:rPr>
        <w:t xml:space="preserve"> ומירי </w:t>
      </w:r>
      <w:proofErr w:type="spellStart"/>
      <w:r w:rsidRPr="00A61869">
        <w:rPr>
          <w:rFonts w:asciiTheme="majorBidi" w:hAnsiTheme="majorBidi" w:cstheme="majorBidi"/>
          <w:rtl/>
        </w:rPr>
        <w:t>טלמון</w:t>
      </w:r>
      <w:proofErr w:type="spellEnd"/>
      <w:r w:rsidRPr="00A61869">
        <w:rPr>
          <w:rFonts w:asciiTheme="majorBidi" w:hAnsiTheme="majorBidi" w:cstheme="majorBidi"/>
          <w:rtl/>
        </w:rPr>
        <w:t xml:space="preserve"> (עורכות), </w:t>
      </w:r>
      <w:r w:rsidRPr="00A61869">
        <w:rPr>
          <w:rFonts w:asciiTheme="majorBidi" w:hAnsiTheme="majorBidi" w:cstheme="majorBidi"/>
          <w:i/>
          <w:iCs/>
          <w:rtl/>
        </w:rPr>
        <w:t>תקשורת כתרבות: מקראה, כרך א'</w:t>
      </w:r>
      <w:r w:rsidRPr="00A61869">
        <w:rPr>
          <w:rFonts w:asciiTheme="majorBidi" w:hAnsiTheme="majorBidi" w:cstheme="majorBidi"/>
          <w:rtl/>
        </w:rPr>
        <w:t>, תל-אביב: האוניברסיטה הפתוחה, 2003, עמ' 271-259.</w:t>
      </w:r>
    </w:p>
    <w:p w14:paraId="1A8186EB" w14:textId="77777777" w:rsidR="00A61869" w:rsidRDefault="00A61869" w:rsidP="00811228">
      <w:pPr>
        <w:rPr>
          <w:rtl/>
        </w:rPr>
      </w:pPr>
    </w:p>
    <w:p w14:paraId="5DC31BEC" w14:textId="71DEDA49" w:rsidR="00811228" w:rsidRPr="00A61869" w:rsidRDefault="00A61869" w:rsidP="00A61869">
      <w:pPr>
        <w:spacing w:before="120" w:after="120"/>
        <w:rPr>
          <w:rFonts w:asciiTheme="majorBidi" w:hAnsiTheme="majorBidi" w:cstheme="majorBidi"/>
          <w:rtl/>
        </w:rPr>
      </w:pPr>
      <w:proofErr w:type="spellStart"/>
      <w:r w:rsidRPr="00A61869">
        <w:rPr>
          <w:rFonts w:asciiTheme="majorBidi" w:hAnsiTheme="majorBidi" w:cstheme="majorBidi"/>
          <w:rtl/>
        </w:rPr>
        <w:t>בודריאר</w:t>
      </w:r>
      <w:proofErr w:type="spellEnd"/>
      <w:r w:rsidRPr="00A61869">
        <w:rPr>
          <w:rFonts w:asciiTheme="majorBidi" w:hAnsiTheme="majorBidi" w:cstheme="majorBidi"/>
          <w:rtl/>
        </w:rPr>
        <w:t xml:space="preserve"> ז'אן, "קדימות </w:t>
      </w:r>
      <w:proofErr w:type="spellStart"/>
      <w:r w:rsidRPr="00A61869">
        <w:rPr>
          <w:rFonts w:asciiTheme="majorBidi" w:hAnsiTheme="majorBidi" w:cstheme="majorBidi"/>
          <w:rtl/>
        </w:rPr>
        <w:t>הסימולקרות</w:t>
      </w:r>
      <w:proofErr w:type="spellEnd"/>
      <w:r w:rsidRPr="00A61869">
        <w:rPr>
          <w:rFonts w:asciiTheme="majorBidi" w:hAnsiTheme="majorBidi" w:cstheme="majorBidi"/>
          <w:rtl/>
        </w:rPr>
        <w:t xml:space="preserve">", מתוך </w:t>
      </w:r>
      <w:proofErr w:type="spellStart"/>
      <w:r w:rsidRPr="00A61869">
        <w:rPr>
          <w:rFonts w:asciiTheme="majorBidi" w:hAnsiTheme="majorBidi" w:cstheme="majorBidi"/>
          <w:i/>
          <w:iCs/>
          <w:rtl/>
        </w:rPr>
        <w:t>סימולקרות</w:t>
      </w:r>
      <w:proofErr w:type="spellEnd"/>
      <w:r w:rsidRPr="00A61869">
        <w:rPr>
          <w:rFonts w:asciiTheme="majorBidi" w:hAnsiTheme="majorBidi" w:cstheme="majorBidi"/>
          <w:i/>
          <w:iCs/>
          <w:rtl/>
        </w:rPr>
        <w:t xml:space="preserve"> וסימולציה</w:t>
      </w:r>
      <w:r w:rsidRPr="00A61869">
        <w:rPr>
          <w:rFonts w:asciiTheme="majorBidi" w:hAnsiTheme="majorBidi" w:cstheme="majorBidi"/>
          <w:rtl/>
        </w:rPr>
        <w:t>, תרגום: אריאלה אזולאי, תל-אביב: הקיבוץ המאוחד, 2007, עמ' 46-7.</w:t>
      </w:r>
    </w:p>
    <w:p w14:paraId="21132153" w14:textId="77777777" w:rsidR="00811228" w:rsidRPr="00A61869" w:rsidRDefault="00811228" w:rsidP="00811228">
      <w:pPr>
        <w:rPr>
          <w:rFonts w:asciiTheme="majorBidi" w:hAnsiTheme="majorBidi" w:cstheme="majorBidi"/>
          <w:rtl/>
        </w:rPr>
      </w:pPr>
    </w:p>
    <w:p w14:paraId="41440D02" w14:textId="79E32DB2" w:rsidR="00811228" w:rsidRPr="00A61869" w:rsidRDefault="00A61869" w:rsidP="00A61869">
      <w:pPr>
        <w:spacing w:before="120" w:after="120"/>
        <w:ind w:left="454" w:hanging="454"/>
        <w:rPr>
          <w:rFonts w:asciiTheme="majorBidi" w:hAnsiTheme="majorBidi" w:cstheme="majorBidi"/>
          <w:rtl/>
        </w:rPr>
      </w:pPr>
      <w:r w:rsidRPr="00A61869">
        <w:rPr>
          <w:rFonts w:asciiTheme="majorBidi" w:hAnsiTheme="majorBidi" w:cstheme="majorBidi"/>
          <w:rtl/>
        </w:rPr>
        <w:t xml:space="preserve">בנימין </w:t>
      </w:r>
      <w:r w:rsidR="00811228" w:rsidRPr="00A61869">
        <w:rPr>
          <w:rFonts w:asciiTheme="majorBidi" w:hAnsiTheme="majorBidi" w:cstheme="majorBidi"/>
          <w:rtl/>
        </w:rPr>
        <w:t>ולטר, "יצירת האמנות בעידן השעתוק הטכני", מתוך</w:t>
      </w:r>
      <w:r>
        <w:rPr>
          <w:rFonts w:asciiTheme="majorBidi" w:hAnsiTheme="majorBidi" w:cstheme="majorBidi" w:hint="cs"/>
          <w:rtl/>
        </w:rPr>
        <w:t>:</w:t>
      </w:r>
      <w:r w:rsidR="00811228" w:rsidRPr="00A61869">
        <w:rPr>
          <w:rFonts w:asciiTheme="majorBidi" w:hAnsiTheme="majorBidi" w:cstheme="majorBidi"/>
          <w:rtl/>
        </w:rPr>
        <w:t xml:space="preserve"> </w:t>
      </w:r>
      <w:r w:rsidR="00811228" w:rsidRPr="00A61869">
        <w:rPr>
          <w:rFonts w:asciiTheme="majorBidi" w:hAnsiTheme="majorBidi" w:cstheme="majorBidi"/>
          <w:i/>
          <w:iCs/>
          <w:rtl/>
        </w:rPr>
        <w:t>מבחר כתבים, כרך ב: הרהורים</w:t>
      </w:r>
      <w:r w:rsidR="00811228" w:rsidRPr="00A61869">
        <w:rPr>
          <w:rFonts w:asciiTheme="majorBidi" w:hAnsiTheme="majorBidi" w:cstheme="majorBidi"/>
          <w:rtl/>
        </w:rPr>
        <w:t>, תרגום: דוד זינגר, תל-אביב: הקיבוץ המאוחד, 1996, עמ' 176-156.</w:t>
      </w:r>
    </w:p>
    <w:p w14:paraId="6349828F" w14:textId="3F64F388" w:rsidR="00A61869" w:rsidRPr="00A61869" w:rsidRDefault="00A61869" w:rsidP="00A61869">
      <w:pPr>
        <w:pStyle w:val="NoSpacing"/>
        <w:rPr>
          <w:rFonts w:asciiTheme="majorBidi" w:hAnsiTheme="majorBidi" w:cstheme="majorBidi"/>
          <w:rtl/>
        </w:rPr>
      </w:pPr>
      <w:proofErr w:type="spellStart"/>
      <w:r w:rsidRPr="00A61869">
        <w:rPr>
          <w:rFonts w:asciiTheme="majorBidi" w:hAnsiTheme="majorBidi" w:cstheme="majorBidi"/>
          <w:rtl/>
        </w:rPr>
        <w:t>ברג'ר</w:t>
      </w:r>
      <w:proofErr w:type="spellEnd"/>
      <w:r w:rsidRPr="00A61869">
        <w:rPr>
          <w:rFonts w:asciiTheme="majorBidi" w:hAnsiTheme="majorBidi" w:cstheme="majorBidi"/>
          <w:rtl/>
        </w:rPr>
        <w:t xml:space="preserve"> ג'ון,  </w:t>
      </w:r>
      <w:r w:rsidRPr="00A61869">
        <w:rPr>
          <w:rFonts w:asciiTheme="majorBidi" w:hAnsiTheme="majorBidi" w:cstheme="majorBidi"/>
          <w:i/>
          <w:iCs/>
          <w:rtl/>
        </w:rPr>
        <w:t>על ההתבוננות,</w:t>
      </w:r>
      <w:r w:rsidRPr="00A61869">
        <w:rPr>
          <w:rFonts w:asciiTheme="majorBidi" w:hAnsiTheme="majorBidi" w:cstheme="majorBidi"/>
          <w:rtl/>
        </w:rPr>
        <w:t xml:space="preserve"> תרגום: אסתר דותן, תל-אביב: פיתום, 2012</w:t>
      </w:r>
      <w:r w:rsidRPr="00A61869">
        <w:rPr>
          <w:rFonts w:asciiTheme="majorBidi" w:hAnsiTheme="majorBidi" w:cstheme="majorBidi"/>
          <w:sz w:val="24"/>
          <w:szCs w:val="24"/>
          <w:rtl/>
        </w:rPr>
        <w:t>, פרק א', ב', ג'.</w:t>
      </w:r>
      <w:r w:rsidRPr="00A61869">
        <w:rPr>
          <w:rFonts w:asciiTheme="majorBidi" w:hAnsiTheme="majorBidi" w:cstheme="majorBidi"/>
          <w:rtl/>
        </w:rPr>
        <w:t xml:space="preserve"> </w:t>
      </w:r>
    </w:p>
    <w:p w14:paraId="6AB3E82E" w14:textId="77777777" w:rsidR="00811228" w:rsidRPr="00A61869" w:rsidRDefault="00811228" w:rsidP="00811228">
      <w:pPr>
        <w:rPr>
          <w:rFonts w:asciiTheme="majorBidi" w:hAnsiTheme="majorBidi" w:cstheme="majorBidi"/>
          <w:rtl/>
        </w:rPr>
      </w:pPr>
    </w:p>
    <w:p w14:paraId="5C3CB00E" w14:textId="67C4E5C4" w:rsidR="00A61869" w:rsidRDefault="00A61869" w:rsidP="00A61869">
      <w:pPr>
        <w:rPr>
          <w:rFonts w:asciiTheme="majorBidi" w:hAnsiTheme="majorBidi" w:cstheme="majorBidi"/>
          <w:u w:val="single"/>
          <w:rtl/>
        </w:rPr>
      </w:pPr>
      <w:r w:rsidRPr="00A61869">
        <w:rPr>
          <w:rFonts w:asciiTheme="majorBidi" w:hAnsiTheme="majorBidi" w:cstheme="majorBidi"/>
          <w:rtl/>
        </w:rPr>
        <w:t xml:space="preserve">מאלווי לורה, "עונג חזותי וקולנוע נרטיבי", תרגום: רועי רוזן, מתוך </w:t>
      </w:r>
      <w:r w:rsidRPr="00A61869">
        <w:rPr>
          <w:rFonts w:asciiTheme="majorBidi" w:hAnsiTheme="majorBidi" w:cstheme="majorBidi"/>
          <w:i/>
          <w:iCs/>
          <w:rtl/>
        </w:rPr>
        <w:t>ללמוד פמיניזם: מקראה</w:t>
      </w:r>
      <w:r w:rsidRPr="00A61869">
        <w:rPr>
          <w:rFonts w:asciiTheme="majorBidi" w:hAnsiTheme="majorBidi" w:cstheme="majorBidi"/>
          <w:rtl/>
        </w:rPr>
        <w:t>, תל-אביב: הקיבוץ המאוחד, 2006, עמ' 133-118.</w:t>
      </w:r>
    </w:p>
    <w:p w14:paraId="07AF8937" w14:textId="77777777" w:rsidR="00A61869" w:rsidRDefault="00A61869" w:rsidP="00A61869">
      <w:pPr>
        <w:rPr>
          <w:rFonts w:asciiTheme="majorBidi" w:hAnsiTheme="majorBidi" w:cstheme="majorBidi"/>
          <w:u w:val="single"/>
          <w:rtl/>
        </w:rPr>
      </w:pPr>
    </w:p>
    <w:p w14:paraId="6D417C0D" w14:textId="77777777" w:rsidR="00A61869" w:rsidRPr="00A61869" w:rsidRDefault="00A61869" w:rsidP="00A61869">
      <w:pPr>
        <w:spacing w:after="240"/>
        <w:rPr>
          <w:rFonts w:asciiTheme="majorBidi" w:hAnsiTheme="majorBidi" w:cstheme="majorBidi"/>
          <w:i/>
          <w:rtl/>
        </w:rPr>
      </w:pPr>
      <w:r w:rsidRPr="00A61869">
        <w:rPr>
          <w:rFonts w:asciiTheme="majorBidi" w:hAnsiTheme="majorBidi" w:cstheme="majorBidi"/>
          <w:rtl/>
        </w:rPr>
        <w:t xml:space="preserve">לב </w:t>
      </w:r>
      <w:proofErr w:type="spellStart"/>
      <w:r w:rsidRPr="00A61869">
        <w:rPr>
          <w:rFonts w:asciiTheme="majorBidi" w:hAnsiTheme="majorBidi" w:cstheme="majorBidi"/>
          <w:rtl/>
        </w:rPr>
        <w:t>מאנוביץ</w:t>
      </w:r>
      <w:proofErr w:type="spellEnd"/>
      <w:r w:rsidRPr="00A61869">
        <w:rPr>
          <w:rFonts w:asciiTheme="majorBidi" w:hAnsiTheme="majorBidi" w:cstheme="majorBidi"/>
          <w:rtl/>
        </w:rPr>
        <w:t>', "האוונגרד כתוכנה", בתוך: ואן-</w:t>
      </w:r>
      <w:proofErr w:type="spellStart"/>
      <w:r w:rsidRPr="00A61869">
        <w:rPr>
          <w:rFonts w:asciiTheme="majorBidi" w:hAnsiTheme="majorBidi" w:cstheme="majorBidi"/>
          <w:rtl/>
        </w:rPr>
        <w:t>אסן</w:t>
      </w:r>
      <w:proofErr w:type="spellEnd"/>
      <w:r w:rsidRPr="00A61869">
        <w:rPr>
          <w:rFonts w:asciiTheme="majorBidi" w:hAnsiTheme="majorBidi" w:cstheme="majorBidi"/>
          <w:rtl/>
        </w:rPr>
        <w:t xml:space="preserve"> יעל אילת (עורכת), </w:t>
      </w:r>
      <w:r w:rsidRPr="00A61869">
        <w:rPr>
          <w:rFonts w:asciiTheme="majorBidi" w:hAnsiTheme="majorBidi" w:cstheme="majorBidi"/>
          <w:iCs/>
          <w:rtl/>
        </w:rPr>
        <w:t xml:space="preserve">תרבות דיגיטלית: </w:t>
      </w:r>
      <w:proofErr w:type="spellStart"/>
      <w:r w:rsidRPr="00A61869">
        <w:rPr>
          <w:rFonts w:asciiTheme="majorBidi" w:hAnsiTheme="majorBidi" w:cstheme="majorBidi"/>
          <w:iCs/>
          <w:rtl/>
        </w:rPr>
        <w:t>ורטואליות</w:t>
      </w:r>
      <w:proofErr w:type="spellEnd"/>
      <w:r w:rsidRPr="00A61869">
        <w:rPr>
          <w:rFonts w:asciiTheme="majorBidi" w:hAnsiTheme="majorBidi" w:cstheme="majorBidi"/>
          <w:iCs/>
          <w:rtl/>
        </w:rPr>
        <w:t>, חברה,</w:t>
      </w:r>
      <w:r w:rsidRPr="00A61869">
        <w:rPr>
          <w:rFonts w:asciiTheme="majorBidi" w:hAnsiTheme="majorBidi" w:cstheme="majorBidi"/>
          <w:i/>
          <w:rtl/>
        </w:rPr>
        <w:t xml:space="preserve"> </w:t>
      </w:r>
      <w:r w:rsidRPr="00A61869">
        <w:rPr>
          <w:rFonts w:asciiTheme="majorBidi" w:hAnsiTheme="majorBidi" w:cstheme="majorBidi"/>
          <w:iCs/>
          <w:rtl/>
        </w:rPr>
        <w:t>מידע,</w:t>
      </w:r>
      <w:r w:rsidRPr="00A61869">
        <w:rPr>
          <w:rFonts w:asciiTheme="majorBidi" w:hAnsiTheme="majorBidi" w:cstheme="majorBidi"/>
          <w:i/>
          <w:rtl/>
        </w:rPr>
        <w:t xml:space="preserve"> </w:t>
      </w:r>
      <w:r w:rsidRPr="00A61869">
        <w:rPr>
          <w:rFonts w:asciiTheme="majorBidi" w:hAnsiTheme="majorBidi" w:cstheme="majorBidi"/>
          <w:rtl/>
        </w:rPr>
        <w:t>תל אביב: הקיבוץ המאוחד, 2002, עמ' 173-198.</w:t>
      </w:r>
    </w:p>
    <w:p w14:paraId="337A1341" w14:textId="77777777" w:rsidR="00A61869" w:rsidRPr="00A61869" w:rsidRDefault="00A61869" w:rsidP="00A61869">
      <w:pPr>
        <w:rPr>
          <w:rFonts w:asciiTheme="majorBidi" w:hAnsiTheme="majorBidi" w:cstheme="majorBidi"/>
          <w:u w:val="single"/>
          <w:rtl/>
        </w:rPr>
      </w:pPr>
    </w:p>
    <w:p w14:paraId="35C0BA7D" w14:textId="103975D0" w:rsidR="00A61869" w:rsidRDefault="00A61869" w:rsidP="00A61869">
      <w:pPr>
        <w:spacing w:before="120" w:after="120" w:line="360" w:lineRule="auto"/>
        <w:ind w:left="454" w:hanging="454"/>
        <w:rPr>
          <w:rFonts w:asciiTheme="majorBidi" w:hAnsiTheme="majorBidi" w:cstheme="majorBidi"/>
          <w:rtl/>
        </w:rPr>
      </w:pPr>
      <w:r w:rsidRPr="00A61869">
        <w:rPr>
          <w:rFonts w:asciiTheme="majorBidi" w:hAnsiTheme="majorBidi" w:cstheme="majorBidi"/>
          <w:rtl/>
        </w:rPr>
        <w:t>סעיד אדוארד, "מבוא" מתוך</w:t>
      </w:r>
      <w:r>
        <w:rPr>
          <w:rFonts w:asciiTheme="majorBidi" w:hAnsiTheme="majorBidi" w:cstheme="majorBidi" w:hint="cs"/>
          <w:rtl/>
        </w:rPr>
        <w:t>:</w:t>
      </w:r>
      <w:r w:rsidRPr="00A61869">
        <w:rPr>
          <w:rFonts w:asciiTheme="majorBidi" w:hAnsiTheme="majorBidi" w:cstheme="majorBidi"/>
          <w:rtl/>
        </w:rPr>
        <w:t xml:space="preserve"> </w:t>
      </w:r>
      <w:r w:rsidRPr="00A61869">
        <w:rPr>
          <w:rFonts w:asciiTheme="majorBidi" w:hAnsiTheme="majorBidi" w:cstheme="majorBidi"/>
          <w:i/>
          <w:iCs/>
          <w:rtl/>
        </w:rPr>
        <w:t>אוריינטליזם,</w:t>
      </w:r>
      <w:r w:rsidRPr="00A61869">
        <w:rPr>
          <w:rFonts w:asciiTheme="majorBidi" w:hAnsiTheme="majorBidi" w:cstheme="majorBidi"/>
          <w:rtl/>
        </w:rPr>
        <w:t xml:space="preserve"> תרגום: עתליה זילבר, תל-אביב: עם עובד, 2000, עמ' 32-11.</w:t>
      </w:r>
    </w:p>
    <w:p w14:paraId="39B6BEE9" w14:textId="0507CB97" w:rsidR="00811228" w:rsidRPr="00A61869" w:rsidRDefault="00A61869" w:rsidP="0062389B">
      <w:pPr>
        <w:spacing w:before="120" w:after="120"/>
        <w:ind w:left="454" w:hanging="454"/>
        <w:rPr>
          <w:rFonts w:asciiTheme="majorBidi" w:hAnsiTheme="majorBidi" w:cstheme="majorBidi"/>
          <w:rtl/>
        </w:rPr>
      </w:pPr>
      <w:r w:rsidRPr="00A61869">
        <w:rPr>
          <w:rFonts w:asciiTheme="majorBidi" w:hAnsiTheme="majorBidi" w:cstheme="majorBidi"/>
          <w:rtl/>
        </w:rPr>
        <w:t>פוקו מישל, "על מרחבים אחרים", מתוך</w:t>
      </w:r>
      <w:r>
        <w:rPr>
          <w:rFonts w:asciiTheme="majorBidi" w:hAnsiTheme="majorBidi" w:cstheme="majorBidi" w:hint="cs"/>
          <w:rtl/>
        </w:rPr>
        <w:t>:</w:t>
      </w:r>
      <w:r w:rsidRPr="00A61869">
        <w:rPr>
          <w:rFonts w:asciiTheme="majorBidi" w:hAnsiTheme="majorBidi" w:cstheme="majorBidi"/>
          <w:rtl/>
        </w:rPr>
        <w:t xml:space="preserve"> </w:t>
      </w:r>
      <w:r w:rsidRPr="00A61869">
        <w:rPr>
          <w:rFonts w:asciiTheme="majorBidi" w:hAnsiTheme="majorBidi" w:cstheme="majorBidi"/>
          <w:i/>
          <w:iCs/>
          <w:rtl/>
        </w:rPr>
        <w:t>הטרוטופיה</w:t>
      </w:r>
      <w:r w:rsidRPr="00A61869">
        <w:rPr>
          <w:rFonts w:asciiTheme="majorBidi" w:hAnsiTheme="majorBidi" w:cstheme="majorBidi"/>
          <w:rtl/>
        </w:rPr>
        <w:t>, תרגום: אריאלה אזולאי, תל-אביב: רסלינג, 2003, עמ' 19-7.</w:t>
      </w:r>
    </w:p>
    <w:p w14:paraId="4D1548E2" w14:textId="07695A33" w:rsidR="00811228" w:rsidRPr="00A61869" w:rsidRDefault="00A61869" w:rsidP="0062389B">
      <w:pPr>
        <w:spacing w:before="120" w:after="120"/>
        <w:ind w:left="454" w:hanging="454"/>
        <w:rPr>
          <w:rFonts w:asciiTheme="majorBidi" w:hAnsiTheme="majorBidi" w:cstheme="majorBidi"/>
          <w:rtl/>
        </w:rPr>
      </w:pPr>
      <w:r w:rsidRPr="00A61869">
        <w:rPr>
          <w:rFonts w:asciiTheme="majorBidi" w:hAnsiTheme="majorBidi" w:cstheme="majorBidi"/>
          <w:rtl/>
        </w:rPr>
        <w:t xml:space="preserve">פרויד </w:t>
      </w:r>
      <w:r w:rsidR="00811228" w:rsidRPr="00A61869">
        <w:rPr>
          <w:rFonts w:asciiTheme="majorBidi" w:hAnsiTheme="majorBidi" w:cstheme="majorBidi"/>
          <w:rtl/>
        </w:rPr>
        <w:t>זיגמונד, "</w:t>
      </w:r>
      <w:proofErr w:type="spellStart"/>
      <w:r w:rsidR="00811228" w:rsidRPr="00A61869">
        <w:rPr>
          <w:rFonts w:asciiTheme="majorBidi" w:hAnsiTheme="majorBidi" w:cstheme="majorBidi"/>
          <w:rtl/>
        </w:rPr>
        <w:t>זכרון</w:t>
      </w:r>
      <w:proofErr w:type="spellEnd"/>
      <w:r w:rsidR="00811228" w:rsidRPr="00A61869">
        <w:rPr>
          <w:rFonts w:asciiTheme="majorBidi" w:hAnsiTheme="majorBidi" w:cstheme="majorBidi"/>
          <w:rtl/>
        </w:rPr>
        <w:t>-ילדות של ליאונרדו דה וינצ'י", מתוך</w:t>
      </w:r>
      <w:r>
        <w:rPr>
          <w:rFonts w:asciiTheme="majorBidi" w:hAnsiTheme="majorBidi" w:cstheme="majorBidi" w:hint="cs"/>
          <w:rtl/>
        </w:rPr>
        <w:t>:</w:t>
      </w:r>
      <w:r w:rsidR="00811228" w:rsidRPr="00A61869">
        <w:rPr>
          <w:rFonts w:asciiTheme="majorBidi" w:hAnsiTheme="majorBidi" w:cstheme="majorBidi"/>
          <w:rtl/>
        </w:rPr>
        <w:t xml:space="preserve"> </w:t>
      </w:r>
      <w:r w:rsidR="00811228" w:rsidRPr="00A61869">
        <w:rPr>
          <w:rFonts w:asciiTheme="majorBidi" w:hAnsiTheme="majorBidi" w:cstheme="majorBidi"/>
          <w:i/>
          <w:iCs/>
          <w:rtl/>
        </w:rPr>
        <w:t>מעשה היצירה בראי הפסיכואנליזה</w:t>
      </w:r>
      <w:r w:rsidR="00811228" w:rsidRPr="00A61869">
        <w:rPr>
          <w:rFonts w:asciiTheme="majorBidi" w:hAnsiTheme="majorBidi" w:cstheme="majorBidi"/>
          <w:rtl/>
        </w:rPr>
        <w:t>, תרגום: אריה בר, ת</w:t>
      </w:r>
      <w:r w:rsidR="0022316F" w:rsidRPr="00A61869">
        <w:rPr>
          <w:rFonts w:asciiTheme="majorBidi" w:hAnsiTheme="majorBidi" w:cstheme="majorBidi"/>
          <w:rtl/>
        </w:rPr>
        <w:t>ל-אביב: דביר, 1988, עמ' 166-111</w:t>
      </w:r>
    </w:p>
    <w:p w14:paraId="4499E45D" w14:textId="77777777" w:rsidR="00811228" w:rsidRPr="00A61869" w:rsidRDefault="00811228" w:rsidP="00811228">
      <w:pPr>
        <w:rPr>
          <w:rFonts w:asciiTheme="majorBidi" w:hAnsiTheme="majorBidi" w:cstheme="majorBidi"/>
          <w:u w:val="single"/>
          <w:rtl/>
        </w:rPr>
      </w:pPr>
    </w:p>
    <w:p w14:paraId="6D1B534C" w14:textId="77777777" w:rsidR="00811228" w:rsidRPr="00A61869" w:rsidRDefault="00811228" w:rsidP="00811228">
      <w:pPr>
        <w:rPr>
          <w:rFonts w:asciiTheme="majorBidi" w:hAnsiTheme="majorBidi" w:cstheme="majorBidi"/>
          <w:rtl/>
        </w:rPr>
      </w:pPr>
      <w:r w:rsidRPr="00A61869">
        <w:rPr>
          <w:rFonts w:asciiTheme="majorBidi" w:hAnsiTheme="majorBidi" w:cstheme="majorBidi"/>
          <w:rtl/>
        </w:rPr>
        <w:t xml:space="preserve">שוחט אלה, </w:t>
      </w:r>
      <w:r w:rsidRPr="00A61869">
        <w:rPr>
          <w:rFonts w:asciiTheme="majorBidi" w:hAnsiTheme="majorBidi" w:cstheme="majorBidi"/>
          <w:iCs/>
          <w:rtl/>
        </w:rPr>
        <w:t>הקולנוע הישראלי: מזרח/מערב והפוליטיקה של היצוג</w:t>
      </w:r>
      <w:r w:rsidRPr="00A61869">
        <w:rPr>
          <w:rFonts w:asciiTheme="majorBidi" w:hAnsiTheme="majorBidi" w:cstheme="majorBidi"/>
          <w:rtl/>
        </w:rPr>
        <w:t>, תרגום: יגאל נזרי, רעננה: בית ההוצאה לאור של האוניברסיטה הפתוחה, פרק 3: סרטי בורקס וייצוג מזרחי, עמ' 123-177.</w:t>
      </w:r>
    </w:p>
    <w:p w14:paraId="4C577741" w14:textId="77777777" w:rsidR="00811228" w:rsidRPr="00A61869" w:rsidRDefault="00811228" w:rsidP="00811228">
      <w:pPr>
        <w:rPr>
          <w:rFonts w:asciiTheme="majorBidi" w:hAnsiTheme="majorBidi" w:cstheme="majorBidi"/>
          <w:highlight w:val="yellow"/>
          <w:rtl/>
        </w:rPr>
      </w:pPr>
    </w:p>
    <w:p w14:paraId="5286E123" w14:textId="77777777" w:rsidR="00811228" w:rsidRPr="00A61869" w:rsidRDefault="00811228" w:rsidP="00811228">
      <w:pPr>
        <w:rPr>
          <w:rFonts w:asciiTheme="majorBidi" w:hAnsiTheme="majorBidi" w:cstheme="majorBidi"/>
          <w:rtl/>
        </w:rPr>
      </w:pPr>
    </w:p>
    <w:p w14:paraId="33DD340F" w14:textId="77777777" w:rsidR="00811228" w:rsidRPr="00A61869" w:rsidRDefault="00811228" w:rsidP="00811228">
      <w:pPr>
        <w:rPr>
          <w:rFonts w:asciiTheme="majorBidi" w:hAnsiTheme="majorBidi" w:cstheme="majorBidi"/>
          <w:rtl/>
        </w:rPr>
      </w:pPr>
    </w:p>
    <w:p w14:paraId="4822F3D9" w14:textId="77777777" w:rsidR="00811228" w:rsidRPr="00A61869" w:rsidRDefault="00811228" w:rsidP="00811228">
      <w:pPr>
        <w:rPr>
          <w:rFonts w:asciiTheme="majorBidi" w:hAnsiTheme="majorBidi" w:cstheme="majorBidi"/>
          <w:u w:val="single"/>
          <w:rtl/>
        </w:rPr>
      </w:pPr>
    </w:p>
    <w:p w14:paraId="13E6BD91" w14:textId="77777777" w:rsidR="00811228" w:rsidRDefault="00811228" w:rsidP="00811228">
      <w:pPr>
        <w:rPr>
          <w:u w:val="single"/>
          <w:rtl/>
        </w:rPr>
      </w:pPr>
    </w:p>
    <w:p w14:paraId="27CA7FB7" w14:textId="77777777" w:rsidR="00811228" w:rsidRPr="00042E25" w:rsidRDefault="00811228" w:rsidP="00811228">
      <w:pPr>
        <w:rPr>
          <w:rtl/>
        </w:rPr>
      </w:pPr>
    </w:p>
    <w:p w14:paraId="1E9250F8" w14:textId="77777777" w:rsidR="00811228" w:rsidRDefault="00811228" w:rsidP="00811228">
      <w:pPr>
        <w:rPr>
          <w:rtl/>
        </w:rPr>
      </w:pPr>
    </w:p>
    <w:p w14:paraId="6E390A7D" w14:textId="77777777" w:rsidR="00811228" w:rsidRPr="00CD5EE8" w:rsidRDefault="00811228" w:rsidP="00811228">
      <w:pPr>
        <w:rPr>
          <w:rtl/>
        </w:rPr>
      </w:pPr>
    </w:p>
    <w:p w14:paraId="1D5459CB" w14:textId="0440FDF4" w:rsidR="00811228" w:rsidRPr="00A61869" w:rsidRDefault="00A61869" w:rsidP="0062389B">
      <w:pPr>
        <w:bidi w:val="0"/>
        <w:spacing w:before="120"/>
        <w:ind w:left="454" w:hanging="454"/>
        <w:rPr>
          <w:rFonts w:asciiTheme="majorBidi" w:eastAsiaTheme="minorEastAsia" w:hAnsiTheme="majorBidi" w:cstheme="majorBidi"/>
          <w:lang w:eastAsia="zh-CN"/>
        </w:rPr>
      </w:pPr>
      <w:r w:rsidRPr="00A61869">
        <w:rPr>
          <w:rFonts w:asciiTheme="majorBidi" w:hAnsiTheme="majorBidi" w:cstheme="majorBidi"/>
        </w:rPr>
        <w:lastRenderedPageBreak/>
        <w:t>Michel Foucault, "</w:t>
      </w:r>
      <w:proofErr w:type="spellStart"/>
      <w:r w:rsidRPr="00A61869">
        <w:rPr>
          <w:rFonts w:asciiTheme="majorBidi" w:hAnsiTheme="majorBidi" w:cstheme="majorBidi"/>
        </w:rPr>
        <w:t>Panopticism</w:t>
      </w:r>
      <w:proofErr w:type="spellEnd"/>
      <w:r w:rsidRPr="00A61869">
        <w:rPr>
          <w:rFonts w:asciiTheme="majorBidi" w:hAnsiTheme="majorBidi" w:cstheme="majorBidi"/>
        </w:rPr>
        <w:t xml:space="preserve">", in </w:t>
      </w:r>
      <w:r w:rsidRPr="00A61869">
        <w:rPr>
          <w:rFonts w:asciiTheme="majorBidi" w:hAnsiTheme="majorBidi" w:cstheme="majorBidi"/>
          <w:i/>
          <w:iCs/>
        </w:rPr>
        <w:t>Discipline and Punish: The Birth of the Prison</w:t>
      </w:r>
      <w:r w:rsidRPr="00A61869">
        <w:rPr>
          <w:rFonts w:asciiTheme="majorBidi" w:hAnsiTheme="majorBidi" w:cstheme="majorBidi"/>
        </w:rPr>
        <w:t>, New York: Vintage Books, 1995, pp. 195-228.</w:t>
      </w:r>
      <w:r w:rsidRPr="00A61869">
        <w:rPr>
          <w:rFonts w:asciiTheme="majorBidi" w:hAnsiTheme="majorBidi" w:cstheme="majorBidi"/>
          <w:rtl/>
        </w:rPr>
        <w:t xml:space="preserve"> </w:t>
      </w:r>
      <w:r w:rsidRPr="00A61869">
        <w:rPr>
          <w:rFonts w:asciiTheme="majorBidi" w:eastAsiaTheme="minorEastAsia" w:hAnsiTheme="majorBidi" w:cstheme="majorBidi"/>
          <w:lang w:eastAsia="zh-CN"/>
        </w:rPr>
        <w:t xml:space="preserve"> </w:t>
      </w:r>
    </w:p>
    <w:p w14:paraId="4805884D" w14:textId="77777777" w:rsidR="00811228" w:rsidRDefault="00811228" w:rsidP="0062389B"/>
    <w:p w14:paraId="61C6E4B4" w14:textId="77777777" w:rsidR="00A61869" w:rsidRPr="00506442" w:rsidRDefault="00A61869" w:rsidP="0062389B">
      <w:pPr>
        <w:bidi w:val="0"/>
        <w:spacing w:before="120"/>
        <w:ind w:left="454" w:hanging="454"/>
        <w:rPr>
          <w:rFonts w:cs="David"/>
        </w:rPr>
      </w:pPr>
      <w:proofErr w:type="spellStart"/>
      <w:r>
        <w:rPr>
          <w:rFonts w:cs="David"/>
        </w:rPr>
        <w:t>Irit</w:t>
      </w:r>
      <w:proofErr w:type="spellEnd"/>
      <w:r>
        <w:rPr>
          <w:rFonts w:cs="David"/>
        </w:rPr>
        <w:t xml:space="preserve"> </w:t>
      </w:r>
      <w:proofErr w:type="spellStart"/>
      <w:r>
        <w:rPr>
          <w:rFonts w:cs="David"/>
        </w:rPr>
        <w:t>Rogoff</w:t>
      </w:r>
      <w:proofErr w:type="spellEnd"/>
      <w:r w:rsidRPr="00506442">
        <w:rPr>
          <w:rFonts w:cs="David"/>
        </w:rPr>
        <w:t>, "</w:t>
      </w:r>
      <w:r>
        <w:rPr>
          <w:rFonts w:cs="David"/>
        </w:rPr>
        <w:t>Studying Visual Culture</w:t>
      </w:r>
      <w:r w:rsidRPr="00506442">
        <w:rPr>
          <w:rFonts w:cs="David"/>
        </w:rPr>
        <w:t xml:space="preserve">", in </w:t>
      </w:r>
      <w:r>
        <w:rPr>
          <w:rFonts w:cs="David"/>
        </w:rPr>
        <w:t xml:space="preserve">Nicholas </w:t>
      </w:r>
      <w:proofErr w:type="spellStart"/>
      <w:r>
        <w:rPr>
          <w:rFonts w:cs="David"/>
        </w:rPr>
        <w:t>Mirzoeff</w:t>
      </w:r>
      <w:proofErr w:type="spellEnd"/>
      <w:r w:rsidRPr="00506442">
        <w:rPr>
          <w:rFonts w:cs="David"/>
        </w:rPr>
        <w:t xml:space="preserve"> (Ed.), </w:t>
      </w:r>
      <w:proofErr w:type="gramStart"/>
      <w:r>
        <w:rPr>
          <w:rFonts w:cs="David"/>
          <w:i/>
          <w:iCs/>
        </w:rPr>
        <w:t>The</w:t>
      </w:r>
      <w:proofErr w:type="gramEnd"/>
      <w:r>
        <w:rPr>
          <w:rFonts w:cs="David"/>
          <w:i/>
          <w:iCs/>
        </w:rPr>
        <w:t xml:space="preserve"> Visual Culture Reader</w:t>
      </w:r>
      <w:r>
        <w:rPr>
          <w:rFonts w:cs="David"/>
        </w:rPr>
        <w:t xml:space="preserve"> (1</w:t>
      </w:r>
      <w:r w:rsidRPr="008A7ABA">
        <w:rPr>
          <w:rFonts w:cs="David"/>
          <w:vertAlign w:val="superscript"/>
        </w:rPr>
        <w:t>st</w:t>
      </w:r>
      <w:r>
        <w:rPr>
          <w:rFonts w:cs="David"/>
        </w:rPr>
        <w:t xml:space="preserve"> Edition)</w:t>
      </w:r>
      <w:r w:rsidRPr="00506442">
        <w:rPr>
          <w:rFonts w:cs="David"/>
        </w:rPr>
        <w:t>,</w:t>
      </w:r>
      <w:r>
        <w:rPr>
          <w:rFonts w:cs="David"/>
        </w:rPr>
        <w:t xml:space="preserve"> London: Routledge,</w:t>
      </w:r>
      <w:r w:rsidRPr="00506442">
        <w:rPr>
          <w:rFonts w:cs="David"/>
        </w:rPr>
        <w:t xml:space="preserve"> </w:t>
      </w:r>
      <w:r>
        <w:rPr>
          <w:rFonts w:cs="David"/>
        </w:rPr>
        <w:t xml:space="preserve">1998, </w:t>
      </w:r>
      <w:r w:rsidRPr="00506442">
        <w:rPr>
          <w:rFonts w:cs="David"/>
        </w:rPr>
        <w:t>pp. 14-</w:t>
      </w:r>
      <w:r>
        <w:rPr>
          <w:rFonts w:cs="David"/>
        </w:rPr>
        <w:t>2</w:t>
      </w:r>
      <w:r w:rsidRPr="00506442">
        <w:rPr>
          <w:rFonts w:cs="David"/>
        </w:rPr>
        <w:t>6.</w:t>
      </w:r>
    </w:p>
    <w:p w14:paraId="174ADDB9" w14:textId="77777777" w:rsidR="00292E38" w:rsidRPr="00A61869" w:rsidRDefault="00292E38" w:rsidP="00A61869"/>
    <w:sectPr w:rsidR="00292E38" w:rsidRPr="00A61869" w:rsidSect="00930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F6E90"/>
    <w:multiLevelType w:val="hybridMultilevel"/>
    <w:tmpl w:val="12A2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38"/>
    <w:rsid w:val="0022316F"/>
    <w:rsid w:val="00292E38"/>
    <w:rsid w:val="00311C92"/>
    <w:rsid w:val="00501993"/>
    <w:rsid w:val="0062389B"/>
    <w:rsid w:val="00811228"/>
    <w:rsid w:val="00930651"/>
    <w:rsid w:val="00A61869"/>
    <w:rsid w:val="00D201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3FF0D"/>
  <w14:defaultImageDpi w14:val="300"/>
  <w15:docId w15:val="{730AB46B-FE67-4010-83CE-6BB6F373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E38"/>
    <w:pPr>
      <w:bidi/>
    </w:pPr>
    <w:rPr>
      <w:rFonts w:ascii="Times New Roman" w:eastAsia="MS Minngs"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2E38"/>
    <w:rPr>
      <w:rFonts w:cs="Times New Roman"/>
      <w:color w:val="0000FF"/>
      <w:u w:val="single"/>
    </w:rPr>
  </w:style>
  <w:style w:type="paragraph" w:styleId="NoSpacing">
    <w:name w:val="No Spacing"/>
    <w:uiPriority w:val="1"/>
    <w:qFormat/>
    <w:rsid w:val="00811228"/>
    <w:pPr>
      <w:bidi/>
    </w:pPr>
    <w:rPr>
      <w:rFonts w:eastAsia="SimSun"/>
      <w:sz w:val="22"/>
      <w:szCs w:val="22"/>
      <w:lang w:bidi="he-IL"/>
    </w:rPr>
  </w:style>
  <w:style w:type="paragraph" w:styleId="ListParagraph">
    <w:name w:val="List Paragraph"/>
    <w:basedOn w:val="Normal"/>
    <w:uiPriority w:val="34"/>
    <w:qFormat/>
    <w:rsid w:val="00D2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he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 Shevi</dc:creator>
  <cp:keywords/>
  <dc:description/>
  <cp:lastModifiedBy>oshevi</cp:lastModifiedBy>
  <cp:revision>2</cp:revision>
  <dcterms:created xsi:type="dcterms:W3CDTF">2014-09-13T22:35:00Z</dcterms:created>
  <dcterms:modified xsi:type="dcterms:W3CDTF">2014-09-13T22:35:00Z</dcterms:modified>
</cp:coreProperties>
</file>