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F0" w:rsidRDefault="00366AF0" w:rsidP="00366AF0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cs="Narkisim" w:hint="cs"/>
          <w:noProof/>
        </w:rPr>
        <w:drawing>
          <wp:inline distT="0" distB="0" distL="0" distR="0">
            <wp:extent cx="2955925" cy="116967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F0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Pr="000C1B4B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אופנה ואידיאולוגיה</w:t>
      </w:r>
    </w:p>
    <w:p w:rsidR="00366AF0" w:rsidRPr="000C1B4B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Fashion and Ideology</w:t>
      </w:r>
    </w:p>
    <w:p w:rsidR="00366AF0" w:rsidRPr="000C1B4B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>דר' שושנה-רוז מרזל</w:t>
      </w:r>
      <w:r w:rsidRPr="000C1B4B">
        <w:rPr>
          <w:rFonts w:ascii="Times New Roman" w:hAnsi="Times New Roman" w:cs="Times New Roman" w:hint="cs"/>
          <w:sz w:val="24"/>
          <w:szCs w:val="24"/>
          <w:rtl/>
        </w:rPr>
        <w:t>, דר' גיא שטיבל</w:t>
      </w:r>
    </w:p>
    <w:p w:rsidR="00366AF0" w:rsidRPr="000C1B4B" w:rsidRDefault="00366AF0" w:rsidP="00366AF0">
      <w:pPr>
        <w:rPr>
          <w:rFonts w:ascii="Times New Roman" w:hAnsi="Times New Roman" w:cs="Times New Roman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</w:rPr>
        <w:t>Guy Stiebel, Ph.D., Shoshana-Rose Marzel, Ph.D.</w:t>
      </w:r>
    </w:p>
    <w:p w:rsidR="00366AF0" w:rsidRPr="000C1B4B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קורס בחירה מתקדם,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סמסטריאלי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, 1 נ"ז</w:t>
      </w:r>
    </w:p>
    <w:p w:rsidR="00366AF0" w:rsidRPr="000C1B4B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 xml:space="preserve">יום ושעה: סמסטר </w:t>
      </w:r>
      <w:r w:rsidRPr="000C1B4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0C1B4B">
        <w:rPr>
          <w:rFonts w:ascii="Times New Roman" w:hAnsi="Times New Roman" w:cs="Times New Roman"/>
          <w:sz w:val="24"/>
          <w:szCs w:val="24"/>
          <w:rtl/>
        </w:rPr>
        <w:t>', יום א' בין השעות</w:t>
      </w:r>
      <w:r w:rsidRPr="000C1B4B">
        <w:rPr>
          <w:rFonts w:ascii="Times New Roman" w:hAnsi="Times New Roman" w:cs="Times New Roman" w:hint="cs"/>
          <w:sz w:val="24"/>
          <w:szCs w:val="24"/>
          <w:rtl/>
        </w:rPr>
        <w:t xml:space="preserve"> 16:30 -18:00 </w:t>
      </w:r>
    </w:p>
    <w:p w:rsidR="00366AF0" w:rsidRPr="000C1B4B" w:rsidRDefault="00366AF0" w:rsidP="00366AF0">
      <w:pPr>
        <w:rPr>
          <w:rFonts w:ascii="Times New Roman" w:hAnsi="Times New Roman" w:cs="Times New Roman"/>
          <w:sz w:val="24"/>
          <w:szCs w:val="24"/>
          <w:rtl/>
        </w:rPr>
      </w:pPr>
    </w:p>
    <w:p w:rsidR="00366AF0" w:rsidRPr="000C1B4B" w:rsidRDefault="00366AF0" w:rsidP="00366AF0">
      <w:pPr>
        <w:pStyle w:val="a4"/>
        <w:spacing w:line="480" w:lineRule="auto"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0C1B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תמצית הקורס: </w:t>
      </w:r>
    </w:p>
    <w:p w:rsidR="00366AF0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>בקורס זה, אנחנו נבחן כיצד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שיקולים אידיאולוגיים מנחים את עיצוב הלבוש. 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כלומר, כיצד 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אידיאולוגי</w:t>
      </w:r>
      <w:r w:rsidRPr="00AF4623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 דתית, משיחית, פוליטית, חברתית </w:t>
      </w:r>
      <w:proofErr w:type="spellStart"/>
      <w:r w:rsidRPr="00AF4623">
        <w:rPr>
          <w:rFonts w:ascii="Times New Roman" w:hAnsi="Times New Roman" w:cs="Times New Roman"/>
          <w:sz w:val="24"/>
          <w:szCs w:val="24"/>
          <w:rtl/>
        </w:rPr>
        <w:t>וכו</w:t>
      </w:r>
      <w:proofErr w:type="spellEnd"/>
      <w:r w:rsidRPr="00AF4623">
        <w:rPr>
          <w:rFonts w:ascii="Times New Roman" w:hAnsi="Times New Roman" w:cs="Times New Roman"/>
          <w:sz w:val="24"/>
          <w:szCs w:val="24"/>
          <w:rtl/>
        </w:rPr>
        <w:t>' באה לידי ביטוי בעיצוב המראה של חסידיה. למעשה, ניתן אף לומר ש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חלק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 מכליה החשובים של 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האידיאולוגי</w:t>
      </w:r>
      <w:r w:rsidRPr="00AF4623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 ה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 הלבוש והמראה: המראה הוא גם 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AF4623">
        <w:rPr>
          <w:rFonts w:ascii="Times New Roman" w:hAnsi="Times New Roman" w:cs="Times New Roman"/>
          <w:sz w:val="24"/>
          <w:szCs w:val="24"/>
          <w:rtl/>
        </w:rPr>
        <w:t>ביטוי ו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גם ה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יישום של 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>האידיאולוגי</w:t>
      </w:r>
      <w:r w:rsidRPr="00AF4623">
        <w:rPr>
          <w:rFonts w:ascii="Times New Roman" w:hAnsi="Times New Roman" w:cs="Times New Roman" w:hint="eastAsia"/>
          <w:sz w:val="24"/>
          <w:szCs w:val="24"/>
          <w:rtl/>
        </w:rPr>
        <w:t>ה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 xml:space="preserve">גם </w:t>
      </w:r>
      <w:r w:rsidRPr="00AF4623">
        <w:rPr>
          <w:rFonts w:ascii="Times New Roman" w:hAnsi="Times New Roman" w:cs="Times New Roman"/>
          <w:sz w:val="24"/>
          <w:szCs w:val="24"/>
          <w:rtl/>
        </w:rPr>
        <w:t xml:space="preserve">סימן מזהה של החסידים, ולפעמים </w:t>
      </w:r>
      <w:r w:rsidRPr="00AF4623">
        <w:rPr>
          <w:rFonts w:ascii="Times New Roman" w:hAnsi="Times New Roman" w:cs="Times New Roman" w:hint="cs"/>
          <w:sz w:val="24"/>
          <w:szCs w:val="24"/>
          <w:rtl/>
        </w:rPr>
        <w:t xml:space="preserve">גם </w:t>
      </w:r>
      <w:r w:rsidRPr="00AF4623">
        <w:rPr>
          <w:rFonts w:ascii="Times New Roman" w:hAnsi="Times New Roman" w:cs="Times New Roman"/>
          <w:sz w:val="24"/>
          <w:szCs w:val="24"/>
          <w:rtl/>
        </w:rPr>
        <w:t>כלי שכנוע.</w:t>
      </w:r>
    </w:p>
    <w:p w:rsidR="00366AF0" w:rsidRPr="00AF4623" w:rsidRDefault="00366AF0" w:rsidP="00366AF0">
      <w:pPr>
        <w:bidi w:val="0"/>
        <w:spacing w:line="360" w:lineRule="auto"/>
        <w:ind w:firstLine="0"/>
        <w:rPr>
          <w:rFonts w:ascii="Times New Roman" w:hAnsi="Times New Roman" w:cs="Times New Roman"/>
          <w:color w:val="000000"/>
          <w:kern w:val="0"/>
          <w:sz w:val="24"/>
          <w:szCs w:val="24"/>
          <w:rtl/>
        </w:rPr>
      </w:pPr>
      <w:r w:rsidRPr="005A3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course </w:t>
      </w:r>
      <w:r w:rsidRPr="005A3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will explore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how ideological considerations have an impact on the way people dress. Thus, how religious, or messianic, political and/or social ideology express through the design of its followers clothing. It can even be said that some of the important tools of any ideology are dress and appearance: appearance (clothes, dress, hairdo and the like) are both the expression as well as the implementation of ideology, as well as an appurtenance sign for its followers and sometime even a convincing tool.   </w:t>
      </w:r>
    </w:p>
    <w:p w:rsidR="00366AF0" w:rsidRDefault="00366AF0" w:rsidP="00366AF0">
      <w:pPr>
        <w:pStyle w:val="a4"/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Default="00366AF0" w:rsidP="00366AF0">
      <w:pPr>
        <w:pStyle w:val="a4"/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Default="00366AF0" w:rsidP="00366AF0">
      <w:pPr>
        <w:pStyle w:val="a4"/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Default="00366AF0" w:rsidP="00366AF0">
      <w:pPr>
        <w:pStyle w:val="a4"/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Pr="000C1B4B" w:rsidRDefault="00366AF0" w:rsidP="00366AF0">
      <w:pPr>
        <w:rPr>
          <w:rFonts w:ascii="Times New Roman" w:hAnsi="Times New Roman" w:cs="Times New Roman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 xml:space="preserve">ביבליוגרפיה: 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90DCF">
        <w:rPr>
          <w:rFonts w:cs="Times New Roman"/>
          <w:color w:val="auto"/>
          <w:sz w:val="24"/>
          <w:szCs w:val="24"/>
        </w:rPr>
        <w:t>Almog</w:t>
      </w:r>
      <w:proofErr w:type="spellEnd"/>
      <w:r w:rsidRPr="00E90DCF">
        <w:rPr>
          <w:rFonts w:cs="Times New Roman"/>
          <w:color w:val="auto"/>
          <w:sz w:val="24"/>
          <w:szCs w:val="24"/>
        </w:rPr>
        <w:t xml:space="preserve">, O. (2000). </w:t>
      </w:r>
      <w:r w:rsidRPr="00E90DCF">
        <w:rPr>
          <w:rFonts w:cs="Times New Roman"/>
          <w:i/>
          <w:iCs/>
          <w:color w:val="auto"/>
          <w:sz w:val="24"/>
          <w:szCs w:val="24"/>
        </w:rPr>
        <w:t xml:space="preserve">The </w:t>
      </w:r>
      <w:proofErr w:type="spellStart"/>
      <w:r w:rsidRPr="00E90DCF">
        <w:rPr>
          <w:rFonts w:cs="Times New Roman"/>
          <w:i/>
          <w:iCs/>
          <w:color w:val="auto"/>
          <w:sz w:val="24"/>
          <w:szCs w:val="24"/>
        </w:rPr>
        <w:t>Sabra</w:t>
      </w:r>
      <w:proofErr w:type="spellEnd"/>
      <w:r w:rsidRPr="00E90DCF">
        <w:rPr>
          <w:rFonts w:cs="Times New Roman"/>
          <w:i/>
          <w:iCs/>
          <w:color w:val="auto"/>
          <w:sz w:val="24"/>
          <w:szCs w:val="24"/>
        </w:rPr>
        <w:t>: The Creation of the New Jew</w:t>
      </w:r>
      <w:r w:rsidRPr="00E90DCF">
        <w:rPr>
          <w:rFonts w:cs="Times New Roman"/>
          <w:color w:val="auto"/>
          <w:sz w:val="24"/>
          <w:szCs w:val="24"/>
        </w:rPr>
        <w:t xml:space="preserve"> (University of California Press, Berkeley.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r w:rsidRPr="00E90DCF">
        <w:rPr>
          <w:rFonts w:cs="Times New Roman"/>
          <w:color w:val="auto"/>
          <w:sz w:val="24"/>
          <w:szCs w:val="24"/>
        </w:rPr>
        <w:t xml:space="preserve">Boucher, François, </w:t>
      </w:r>
      <w:proofErr w:type="gramStart"/>
      <w:r w:rsidRPr="00E90DCF">
        <w:rPr>
          <w:rFonts w:cs="Times New Roman"/>
          <w:i/>
          <w:iCs/>
          <w:color w:val="auto"/>
          <w:sz w:val="24"/>
          <w:szCs w:val="24"/>
        </w:rPr>
        <w:t>A</w:t>
      </w:r>
      <w:proofErr w:type="gramEnd"/>
      <w:r w:rsidRPr="00E90DCF">
        <w:rPr>
          <w:rFonts w:cs="Times New Roman"/>
          <w:i/>
          <w:iCs/>
          <w:color w:val="auto"/>
          <w:sz w:val="24"/>
          <w:szCs w:val="24"/>
        </w:rPr>
        <w:t xml:space="preserve"> History of Costume in the West</w:t>
      </w:r>
      <w:r w:rsidRPr="00E90DCF">
        <w:rPr>
          <w:rFonts w:cs="Times New Roman"/>
          <w:color w:val="auto"/>
          <w:sz w:val="24"/>
          <w:szCs w:val="24"/>
        </w:rPr>
        <w:t xml:space="preserve"> (Paperback), Thames &amp; Hudson Ltd, 1996. 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proofErr w:type="gramStart"/>
      <w:r w:rsidRPr="00E90DCF">
        <w:rPr>
          <w:rFonts w:cs="Times New Roman"/>
          <w:color w:val="auto"/>
          <w:sz w:val="24"/>
          <w:szCs w:val="24"/>
        </w:rPr>
        <w:t>Brown D. M. (2001).</w:t>
      </w:r>
      <w:proofErr w:type="gramEnd"/>
      <w:r w:rsidRPr="00E90DCF">
        <w:rPr>
          <w:rFonts w:cs="Times New Roman"/>
          <w:color w:val="auto"/>
          <w:sz w:val="24"/>
          <w:szCs w:val="24"/>
        </w:rPr>
        <w:t xml:space="preserve"> "Multiple Meaning of the </w:t>
      </w:r>
      <w:proofErr w:type="spellStart"/>
      <w:r w:rsidRPr="00E90DCF">
        <w:rPr>
          <w:rFonts w:cs="Times New Roman"/>
          <w:color w:val="auto"/>
          <w:sz w:val="24"/>
          <w:szCs w:val="24"/>
        </w:rPr>
        <w:t>Hijab</w:t>
      </w:r>
      <w:proofErr w:type="spellEnd"/>
      <w:r w:rsidRPr="00E90DCF">
        <w:rPr>
          <w:rFonts w:cs="Times New Roman"/>
          <w:color w:val="auto"/>
          <w:sz w:val="24"/>
          <w:szCs w:val="24"/>
        </w:rPr>
        <w:t xml:space="preserve"> in Contemporary France", in William J. K. Keenan (ed.) </w:t>
      </w:r>
      <w:r w:rsidRPr="0058117B">
        <w:rPr>
          <w:rFonts w:cs="Times New Roman"/>
          <w:i/>
          <w:iCs/>
          <w:color w:val="auto"/>
          <w:sz w:val="24"/>
          <w:szCs w:val="24"/>
        </w:rPr>
        <w:t>Dressed to Impressed: Looking the Part</w:t>
      </w:r>
      <w:r w:rsidRPr="00E90DCF">
        <w:rPr>
          <w:rFonts w:cs="Times New Roman"/>
          <w:color w:val="auto"/>
          <w:sz w:val="24"/>
          <w:szCs w:val="24"/>
        </w:rPr>
        <w:t>, Oxford UK, New York USA: Berg.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90DCF">
        <w:rPr>
          <w:rFonts w:cs="Times New Roman"/>
          <w:color w:val="auto"/>
          <w:sz w:val="24"/>
          <w:szCs w:val="24"/>
        </w:rPr>
        <w:t>Eicher</w:t>
      </w:r>
      <w:proofErr w:type="spellEnd"/>
      <w:r w:rsidRPr="00E90DCF">
        <w:rPr>
          <w:rFonts w:cs="Times New Roman"/>
          <w:color w:val="auto"/>
          <w:sz w:val="24"/>
          <w:szCs w:val="24"/>
        </w:rPr>
        <w:t>, J. B. (1996). "Introduction: Dress as an Expression of Ethnic Identity", in J. B. (</w:t>
      </w:r>
      <w:proofErr w:type="spellStart"/>
      <w:r w:rsidRPr="00E90DCF">
        <w:rPr>
          <w:rFonts w:cs="Times New Roman"/>
          <w:color w:val="auto"/>
          <w:sz w:val="24"/>
          <w:szCs w:val="24"/>
        </w:rPr>
        <w:t>Eicher</w:t>
      </w:r>
      <w:proofErr w:type="spellEnd"/>
      <w:r w:rsidRPr="00E90DCF">
        <w:rPr>
          <w:rFonts w:cs="Times New Roman"/>
          <w:color w:val="auto"/>
          <w:sz w:val="24"/>
          <w:szCs w:val="24"/>
        </w:rPr>
        <w:t xml:space="preserve"> (</w:t>
      </w:r>
      <w:proofErr w:type="gramStart"/>
      <w:r w:rsidRPr="00E90DCF">
        <w:rPr>
          <w:rFonts w:cs="Times New Roman"/>
          <w:color w:val="auto"/>
          <w:sz w:val="24"/>
          <w:szCs w:val="24"/>
        </w:rPr>
        <w:t>ed</w:t>
      </w:r>
      <w:proofErr w:type="gramEnd"/>
      <w:r w:rsidRPr="00E90DCF">
        <w:rPr>
          <w:rFonts w:cs="Times New Roman"/>
          <w:color w:val="auto"/>
          <w:sz w:val="24"/>
          <w:szCs w:val="24"/>
        </w:rPr>
        <w:t xml:space="preserve">.). </w:t>
      </w:r>
      <w:r w:rsidRPr="0058117B">
        <w:rPr>
          <w:rFonts w:cs="Times New Roman"/>
          <w:i/>
          <w:iCs/>
          <w:color w:val="auto"/>
          <w:sz w:val="24"/>
          <w:szCs w:val="24"/>
        </w:rPr>
        <w:t>Dress and Ethnicity</w:t>
      </w:r>
      <w:r w:rsidRPr="00E90DCF">
        <w:rPr>
          <w:rFonts w:cs="Times New Roman"/>
          <w:color w:val="auto"/>
          <w:sz w:val="24"/>
          <w:szCs w:val="24"/>
        </w:rPr>
        <w:t>, pp. 1-5, Oxford: Berg.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r w:rsidRPr="00E90DCF">
        <w:rPr>
          <w:rFonts w:cs="Times New Roman"/>
          <w:color w:val="auto"/>
          <w:sz w:val="24"/>
          <w:szCs w:val="24"/>
        </w:rPr>
        <w:t xml:space="preserve">Laver, James. </w:t>
      </w:r>
      <w:proofErr w:type="gramStart"/>
      <w:r w:rsidRPr="0058117B">
        <w:rPr>
          <w:rFonts w:cs="Times New Roman"/>
          <w:i/>
          <w:iCs/>
          <w:color w:val="auto"/>
          <w:sz w:val="24"/>
          <w:szCs w:val="24"/>
        </w:rPr>
        <w:t>Costume and Fashion - A Concise History</w:t>
      </w:r>
      <w:r w:rsidRPr="00E90DCF">
        <w:rPr>
          <w:rFonts w:cs="Times New Roman"/>
          <w:color w:val="auto"/>
          <w:sz w:val="24"/>
          <w:szCs w:val="24"/>
        </w:rPr>
        <w:t>.</w:t>
      </w:r>
      <w:proofErr w:type="gramEnd"/>
      <w:r w:rsidRPr="00E90DCF">
        <w:rPr>
          <w:rFonts w:cs="Times New Roman"/>
          <w:color w:val="auto"/>
          <w:sz w:val="24"/>
          <w:szCs w:val="24"/>
        </w:rPr>
        <w:t xml:space="preserve"> Thames and Hudson, London, 2004.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r w:rsidRPr="00E90DCF">
        <w:rPr>
          <w:rFonts w:cs="Times New Roman"/>
          <w:color w:val="auto"/>
          <w:sz w:val="24"/>
          <w:szCs w:val="24"/>
        </w:rPr>
        <w:t xml:space="preserve">McDowell, Colin. </w:t>
      </w:r>
      <w:proofErr w:type="gramStart"/>
      <w:r w:rsidRPr="00E90DCF">
        <w:rPr>
          <w:rFonts w:cs="Times New Roman"/>
          <w:color w:val="auto"/>
          <w:sz w:val="24"/>
          <w:szCs w:val="24"/>
        </w:rPr>
        <w:t>The Man of Fashion.</w:t>
      </w:r>
      <w:proofErr w:type="gramEnd"/>
      <w:r w:rsidRPr="00E90DCF">
        <w:rPr>
          <w:rFonts w:cs="Times New Roman"/>
          <w:color w:val="auto"/>
          <w:sz w:val="24"/>
          <w:szCs w:val="24"/>
        </w:rPr>
        <w:t xml:space="preserve"> </w:t>
      </w:r>
      <w:proofErr w:type="gramStart"/>
      <w:r w:rsidRPr="00E90DCF">
        <w:rPr>
          <w:rFonts w:cs="Times New Roman"/>
          <w:color w:val="auto"/>
          <w:sz w:val="24"/>
          <w:szCs w:val="24"/>
        </w:rPr>
        <w:t>Thames and Hudson, Ltd. London, 1997.</w:t>
      </w:r>
      <w:proofErr w:type="gramEnd"/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r w:rsidRPr="00E90DCF">
        <w:rPr>
          <w:rFonts w:cs="Times New Roman"/>
          <w:color w:val="auto"/>
          <w:sz w:val="24"/>
          <w:szCs w:val="24"/>
        </w:rPr>
        <w:t xml:space="preserve">McCann, Carole Ruth &amp; </w:t>
      </w:r>
      <w:proofErr w:type="spellStart"/>
      <w:r w:rsidRPr="00E90DCF">
        <w:rPr>
          <w:rFonts w:cs="Times New Roman"/>
          <w:color w:val="auto"/>
          <w:sz w:val="24"/>
          <w:szCs w:val="24"/>
        </w:rPr>
        <w:t>Seung</w:t>
      </w:r>
      <w:proofErr w:type="spellEnd"/>
      <w:r w:rsidRPr="00E90DCF">
        <w:rPr>
          <w:rFonts w:cs="Times New Roman"/>
          <w:color w:val="auto"/>
          <w:sz w:val="24"/>
          <w:szCs w:val="24"/>
        </w:rPr>
        <w:t xml:space="preserve">-Kyung Kim (ed.),"No More Miss America", </w:t>
      </w:r>
      <w:r w:rsidRPr="0058117B">
        <w:rPr>
          <w:rFonts w:cs="Times New Roman"/>
          <w:i/>
          <w:iCs/>
          <w:color w:val="auto"/>
          <w:sz w:val="24"/>
          <w:szCs w:val="24"/>
        </w:rPr>
        <w:t>Feminist theory reader: local and global perspectives</w:t>
      </w:r>
      <w:r w:rsidRPr="00E90DCF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E90DCF">
        <w:rPr>
          <w:rFonts w:cs="Times New Roman"/>
          <w:color w:val="auto"/>
          <w:sz w:val="24"/>
          <w:szCs w:val="24"/>
        </w:rPr>
        <w:t>Routledge</w:t>
      </w:r>
      <w:proofErr w:type="spellEnd"/>
      <w:r w:rsidRPr="00E90DCF">
        <w:rPr>
          <w:rFonts w:cs="Times New Roman"/>
          <w:color w:val="auto"/>
          <w:sz w:val="24"/>
          <w:szCs w:val="24"/>
        </w:rPr>
        <w:t>, 2003.</w:t>
      </w:r>
    </w:p>
    <w:p w:rsidR="00366AF0" w:rsidRPr="00E90DCF" w:rsidRDefault="00366AF0" w:rsidP="00366AF0">
      <w:pPr>
        <w:pStyle w:val="a3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90DCF">
        <w:rPr>
          <w:rFonts w:cs="Times New Roman"/>
          <w:color w:val="auto"/>
          <w:sz w:val="24"/>
          <w:szCs w:val="24"/>
        </w:rPr>
        <w:t>Walford</w:t>
      </w:r>
      <w:proofErr w:type="spellEnd"/>
      <w:r w:rsidRPr="00E90DCF">
        <w:rPr>
          <w:rFonts w:cs="Times New Roman"/>
          <w:color w:val="auto"/>
          <w:sz w:val="24"/>
          <w:szCs w:val="24"/>
        </w:rPr>
        <w:t xml:space="preserve">, Jonathan, </w:t>
      </w:r>
      <w:proofErr w:type="gramStart"/>
      <w:r w:rsidRPr="0058117B">
        <w:rPr>
          <w:rFonts w:cs="Times New Roman"/>
          <w:i/>
          <w:iCs/>
          <w:color w:val="auto"/>
          <w:sz w:val="24"/>
          <w:szCs w:val="24"/>
        </w:rPr>
        <w:t>The</w:t>
      </w:r>
      <w:proofErr w:type="gramEnd"/>
      <w:r w:rsidRPr="0058117B">
        <w:rPr>
          <w:rFonts w:cs="Times New Roman"/>
          <w:i/>
          <w:iCs/>
          <w:color w:val="auto"/>
          <w:sz w:val="24"/>
          <w:szCs w:val="24"/>
        </w:rPr>
        <w:t xml:space="preserve"> Seductive Shoe - Four Centuries of Footwear</w:t>
      </w:r>
      <w:r w:rsidRPr="00E90DCF">
        <w:rPr>
          <w:rFonts w:cs="Times New Roman"/>
          <w:color w:val="auto"/>
          <w:sz w:val="24"/>
          <w:szCs w:val="24"/>
        </w:rPr>
        <w:t xml:space="preserve">, Thames &amp; Hudson, 2007. </w:t>
      </w:r>
    </w:p>
    <w:p w:rsidR="00366AF0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Pr="000C1B4B" w:rsidRDefault="00366AF0" w:rsidP="00366AF0">
      <w:pPr>
        <w:rPr>
          <w:rFonts w:ascii="Times New Roman" w:hAnsi="Times New Roman" w:cs="Times New Roman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>התפלגות הציון הסופי:</w:t>
      </w:r>
    </w:p>
    <w:p w:rsidR="00366AF0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 xml:space="preserve">א. </w:t>
      </w:r>
      <w:proofErr w:type="spellStart"/>
      <w:r w:rsidRPr="000C1B4B">
        <w:rPr>
          <w:rFonts w:ascii="Times New Roman" w:hAnsi="Times New Roman" w:cs="Times New Roman"/>
          <w:sz w:val="24"/>
          <w:szCs w:val="24"/>
          <w:rtl/>
        </w:rPr>
        <w:t>נוכוחת</w:t>
      </w:r>
      <w:proofErr w:type="spellEnd"/>
      <w:r w:rsidRPr="000C1B4B">
        <w:rPr>
          <w:rFonts w:ascii="Times New Roman" w:hAnsi="Times New Roman" w:cs="Times New Roman"/>
          <w:sz w:val="24"/>
          <w:szCs w:val="24"/>
          <w:rtl/>
        </w:rPr>
        <w:t xml:space="preserve"> והשתתפות פעילה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בכיתה</w:t>
      </w:r>
    </w:p>
    <w:p w:rsidR="00366AF0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  <w:r w:rsidRPr="008C67C9">
        <w:rPr>
          <w:rFonts w:ascii="Times New Roman" w:hAnsi="Times New Roman" w:cs="Times New Roman"/>
          <w:sz w:val="24"/>
          <w:szCs w:val="24"/>
          <w:rtl/>
        </w:rPr>
        <w:t>ב. בחינה בסוף הקורס</w:t>
      </w:r>
    </w:p>
    <w:p w:rsidR="00366AF0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Pr="008C67C9" w:rsidRDefault="00366AF0" w:rsidP="00366AF0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66AF0" w:rsidRPr="000C1B4B" w:rsidRDefault="00366AF0" w:rsidP="00366AF0">
      <w:pPr>
        <w:rPr>
          <w:rFonts w:ascii="Times New Roman" w:hAnsi="Times New Roman" w:cs="Times New Roman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עזרים : מחשב + מכשיר </w:t>
      </w:r>
      <w:proofErr w:type="spellStart"/>
      <w:r w:rsidRPr="000C1B4B">
        <w:rPr>
          <w:rFonts w:ascii="Times New Roman" w:hAnsi="Times New Roman" w:cs="Times New Roman"/>
          <w:sz w:val="24"/>
          <w:szCs w:val="24"/>
          <w:rtl/>
        </w:rPr>
        <w:t>ברקו</w:t>
      </w:r>
      <w:proofErr w:type="spellEnd"/>
    </w:p>
    <w:p w:rsidR="00366AF0" w:rsidRPr="000C1B4B" w:rsidRDefault="00366AF0" w:rsidP="00366AF0">
      <w:pPr>
        <w:rPr>
          <w:rFonts w:ascii="Times New Roman" w:hAnsi="Times New Roman" w:cs="Times New Roman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>שעות קבלה :  בתיאום מראש עם המרצה</w:t>
      </w:r>
    </w:p>
    <w:p w:rsidR="00366AF0" w:rsidRPr="00D230B7" w:rsidRDefault="00366AF0" w:rsidP="00366AF0">
      <w:pPr>
        <w:rPr>
          <w:rStyle w:val="Hyperlink"/>
          <w:rFonts w:ascii="Times New Roman" w:hAnsi="Times New Roman" w:cs="Times New Roman"/>
          <w:sz w:val="24"/>
          <w:szCs w:val="24"/>
          <w:rtl/>
        </w:rPr>
      </w:pPr>
      <w:r w:rsidRPr="000C1B4B">
        <w:rPr>
          <w:rFonts w:ascii="Times New Roman" w:hAnsi="Times New Roman" w:cs="Times New Roman"/>
          <w:sz w:val="24"/>
          <w:szCs w:val="24"/>
          <w:rtl/>
        </w:rPr>
        <w:t xml:space="preserve">דוא"ל המרצים: </w:t>
      </w:r>
      <w:hyperlink r:id="rId5" w:history="1">
        <w:r w:rsidRPr="00D230B7">
          <w:rPr>
            <w:rStyle w:val="Hyperlink"/>
            <w:rFonts w:ascii="Times New Roman" w:hAnsi="Times New Roman" w:cs="Times New Roman"/>
            <w:sz w:val="24"/>
            <w:szCs w:val="24"/>
          </w:rPr>
          <w:t>shoshi@marzel.com</w:t>
        </w:r>
      </w:hyperlink>
      <w:r w:rsidRPr="000C1B4B">
        <w:rPr>
          <w:rFonts w:ascii="Times New Roman" w:hAnsi="Times New Roman" w:cs="Times New Roman"/>
          <w:sz w:val="24"/>
          <w:szCs w:val="24"/>
          <w:rtl/>
        </w:rPr>
        <w:t>,</w:t>
      </w:r>
      <w:r w:rsidRPr="000C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HYPERLINK "mailto:stiebel@mscc.huji.ac.il" </w:instrText>
      </w:r>
      <w:r w:rsidRPr="00D230B7"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230B7">
        <w:rPr>
          <w:rStyle w:val="Hyperlink"/>
          <w:rFonts w:ascii="Times New Roman" w:hAnsi="Times New Roman" w:cs="Times New Roman"/>
          <w:sz w:val="24"/>
          <w:szCs w:val="24"/>
        </w:rPr>
        <w:t>stiebel@mscc.huji.ac.il</w:t>
      </w:r>
    </w:p>
    <w:p w:rsidR="00CC4DBF" w:rsidRDefault="00366AF0" w:rsidP="00366AF0"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CC4DBF" w:rsidSect="00D003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opType David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6AF0"/>
    <w:rsid w:val="00366AF0"/>
    <w:rsid w:val="00CC4DBF"/>
    <w:rsid w:val="00D0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0"/>
    <w:pPr>
      <w:bidi/>
      <w:spacing w:after="0" w:line="480" w:lineRule="auto"/>
      <w:ind w:firstLine="340"/>
      <w:jc w:val="both"/>
    </w:pPr>
    <w:rPr>
      <w:rFonts w:ascii="Arial" w:eastAsia="Times New Roman" w:hAnsi="Arial" w:cs="Arial"/>
      <w:kern w:val="1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ביבליוגרפיה אנגלית"/>
    <w:basedOn w:val="a"/>
    <w:rsid w:val="00366AF0"/>
    <w:pPr>
      <w:bidi w:val="0"/>
      <w:spacing w:after="200" w:line="400" w:lineRule="atLeast"/>
      <w:ind w:left="1134" w:right="567" w:hanging="1134"/>
      <w:jc w:val="right"/>
    </w:pPr>
    <w:rPr>
      <w:rFonts w:ascii="Times New Roman" w:hAnsi="Times New Roman" w:cs="TopType David"/>
      <w:color w:val="000000"/>
      <w:spacing w:val="8"/>
      <w:kern w:val="0"/>
      <w:szCs w:val="22"/>
    </w:rPr>
  </w:style>
  <w:style w:type="paragraph" w:styleId="a4">
    <w:name w:val="Body Text Indent"/>
    <w:basedOn w:val="a"/>
    <w:link w:val="a5"/>
    <w:rsid w:val="00366AF0"/>
    <w:pPr>
      <w:spacing w:line="360" w:lineRule="auto"/>
    </w:pPr>
    <w:rPr>
      <w:kern w:val="20"/>
    </w:rPr>
  </w:style>
  <w:style w:type="character" w:customStyle="1" w:styleId="a5">
    <w:name w:val="כניסה בגוף טקסט תו"/>
    <w:basedOn w:val="a0"/>
    <w:link w:val="a4"/>
    <w:rsid w:val="00366AF0"/>
    <w:rPr>
      <w:rFonts w:ascii="Arial" w:eastAsia="Times New Roman" w:hAnsi="Arial" w:cs="Arial"/>
      <w:kern w:val="20"/>
      <w:sz w:val="26"/>
      <w:szCs w:val="26"/>
    </w:rPr>
  </w:style>
  <w:style w:type="character" w:styleId="Hyperlink">
    <w:name w:val="Hyperlink"/>
    <w:basedOn w:val="a0"/>
    <w:rsid w:val="00366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66AF0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hoshi@marz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1906</Characters>
  <Application>Microsoft Office Word</Application>
  <DocSecurity>0</DocSecurity>
  <Lines>15</Lines>
  <Paragraphs>4</Paragraphs>
  <ScaleCrop>false</ScaleCrop>
  <Company>bezalel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iritb</dc:creator>
  <cp:keywords/>
  <dc:description/>
  <cp:lastModifiedBy>iritb</cp:lastModifiedBy>
  <cp:revision>1</cp:revision>
  <dcterms:created xsi:type="dcterms:W3CDTF">2013-10-08T04:57:00Z</dcterms:created>
  <dcterms:modified xsi:type="dcterms:W3CDTF">2013-10-08T05:03:00Z</dcterms:modified>
</cp:coreProperties>
</file>