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BB" w:rsidRPr="00DD31AE" w:rsidRDefault="00A618BB" w:rsidP="00A618BB">
      <w:pPr>
        <w:jc w:val="right"/>
        <w:rPr>
          <w:rFonts w:ascii="Arial" w:eastAsia="Times New Roman" w:hAnsi="Arial" w:cs="Arial"/>
          <w:b/>
          <w:bCs/>
          <w:sz w:val="24"/>
          <w:szCs w:val="24"/>
          <w:rtl/>
          <w:lang w:eastAsia="he-IL"/>
        </w:rPr>
      </w:pPr>
      <w:r w:rsidRPr="00DD31AE">
        <w:rPr>
          <w:rFonts w:ascii="Arial" w:hAnsi="Arial" w:cs="Arial"/>
          <w:noProof/>
          <w:sz w:val="24"/>
          <w:szCs w:val="24"/>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A618BB" w:rsidRPr="00DD31AE" w:rsidRDefault="00A618BB" w:rsidP="00A618BB">
      <w:pPr>
        <w:rPr>
          <w:rFonts w:ascii="Arial" w:eastAsia="Times New Roman" w:hAnsi="Arial" w:cs="Arial"/>
          <w:b/>
          <w:bCs/>
          <w:sz w:val="24"/>
          <w:szCs w:val="24"/>
          <w:rtl/>
          <w:lang w:eastAsia="he-IL"/>
        </w:rPr>
      </w:pPr>
    </w:p>
    <w:p w:rsidR="00A618BB" w:rsidRPr="00DD31AE" w:rsidRDefault="00A618BB" w:rsidP="00A618BB">
      <w:pPr>
        <w:rPr>
          <w:rFonts w:ascii="Arial" w:eastAsia="Times New Roman" w:hAnsi="Arial" w:cs="Arial"/>
          <w:b/>
          <w:bCs/>
          <w:sz w:val="24"/>
          <w:szCs w:val="24"/>
          <w:lang w:eastAsia="he-IL"/>
        </w:rPr>
      </w:pPr>
      <w:r w:rsidRPr="00DD31AE">
        <w:rPr>
          <w:rFonts w:ascii="Arial" w:eastAsia="Times New Roman" w:hAnsi="Arial" w:cs="Arial"/>
          <w:b/>
          <w:bCs/>
          <w:sz w:val="24"/>
          <w:szCs w:val="24"/>
          <w:rtl/>
          <w:lang w:eastAsia="he-IL"/>
        </w:rPr>
        <w:t>ישראל לפני ישראל: אמנות עד 1948</w:t>
      </w:r>
    </w:p>
    <w:p w:rsidR="00A618BB" w:rsidRPr="00DD31AE" w:rsidRDefault="00A618BB" w:rsidP="00A618BB">
      <w:pPr>
        <w:rPr>
          <w:rFonts w:ascii="Arial" w:eastAsia="Times New Roman" w:hAnsi="Arial" w:cs="Arial"/>
          <w:sz w:val="24"/>
          <w:szCs w:val="24"/>
          <w:rtl/>
          <w:lang w:eastAsia="he-IL"/>
        </w:rPr>
      </w:pPr>
      <w:r w:rsidRPr="00DD31AE">
        <w:rPr>
          <w:rFonts w:ascii="Arial" w:eastAsia="Times New Roman" w:hAnsi="Arial" w:cs="Arial"/>
          <w:sz w:val="24"/>
          <w:szCs w:val="24"/>
          <w:rtl/>
          <w:lang w:eastAsia="he-IL"/>
        </w:rPr>
        <w:t xml:space="preserve">מרצה: יגאל </w:t>
      </w:r>
      <w:proofErr w:type="spellStart"/>
      <w:r w:rsidRPr="00DD31AE">
        <w:rPr>
          <w:rFonts w:ascii="Arial" w:eastAsia="Times New Roman" w:hAnsi="Arial" w:cs="Arial"/>
          <w:sz w:val="24"/>
          <w:szCs w:val="24"/>
          <w:rtl/>
          <w:lang w:eastAsia="he-IL"/>
        </w:rPr>
        <w:t>צלמונה</w:t>
      </w:r>
      <w:proofErr w:type="spellEnd"/>
    </w:p>
    <w:p w:rsidR="00A618BB" w:rsidRPr="00DD31AE" w:rsidRDefault="00A618BB" w:rsidP="00A618BB">
      <w:pPr>
        <w:rPr>
          <w:rFonts w:ascii="Arial" w:eastAsia="Times New Roman" w:hAnsi="Arial" w:cs="Arial"/>
          <w:sz w:val="24"/>
          <w:szCs w:val="24"/>
          <w:rtl/>
          <w:lang w:eastAsia="he-IL"/>
        </w:rPr>
      </w:pPr>
      <w:r w:rsidRPr="00DD31AE">
        <w:rPr>
          <w:rFonts w:ascii="Arial" w:eastAsia="Times New Roman" w:hAnsi="Arial" w:cs="Arial"/>
          <w:sz w:val="24"/>
          <w:szCs w:val="24"/>
          <w:rtl/>
          <w:lang w:eastAsia="he-IL"/>
        </w:rPr>
        <w:t>קורס בחירה מתקדם</w:t>
      </w:r>
    </w:p>
    <w:p w:rsidR="00A618BB" w:rsidRPr="00DD31AE" w:rsidRDefault="00A618BB" w:rsidP="00A618BB">
      <w:pPr>
        <w:rPr>
          <w:rFonts w:ascii="Arial" w:eastAsia="Times New Roman" w:hAnsi="Arial" w:cs="Arial"/>
          <w:sz w:val="24"/>
          <w:szCs w:val="24"/>
          <w:rtl/>
          <w:lang w:eastAsia="he-IL"/>
        </w:rPr>
      </w:pPr>
      <w:r w:rsidRPr="00DD31AE">
        <w:rPr>
          <w:rFonts w:ascii="Arial" w:eastAsia="Times New Roman" w:hAnsi="Arial" w:cs="Arial"/>
          <w:sz w:val="24"/>
          <w:szCs w:val="24"/>
          <w:rtl/>
          <w:lang w:eastAsia="he-IL"/>
        </w:rPr>
        <w:t>סמסטר א', יום א' 20:00-18:30</w:t>
      </w:r>
    </w:p>
    <w:p w:rsidR="00A618BB" w:rsidRPr="00DD31AE" w:rsidRDefault="00A618BB" w:rsidP="00A618BB">
      <w:pPr>
        <w:rPr>
          <w:rFonts w:ascii="Arial" w:eastAsia="Times New Roman" w:hAnsi="Arial" w:cs="Arial"/>
          <w:sz w:val="24"/>
          <w:szCs w:val="24"/>
          <w:rtl/>
          <w:lang w:eastAsia="he-IL"/>
        </w:rPr>
      </w:pPr>
    </w:p>
    <w:p w:rsidR="00A618BB" w:rsidRPr="00DD31AE" w:rsidRDefault="00A618BB" w:rsidP="00A618BB">
      <w:pPr>
        <w:rPr>
          <w:rFonts w:ascii="Arial" w:eastAsia="Times New Roman" w:hAnsi="Arial" w:cs="Arial"/>
          <w:sz w:val="24"/>
          <w:szCs w:val="24"/>
          <w:rtl/>
          <w:lang w:eastAsia="he-IL"/>
        </w:rPr>
      </w:pPr>
      <w:r w:rsidRPr="00DD31AE">
        <w:rPr>
          <w:rFonts w:ascii="Arial" w:eastAsia="Times New Roman" w:hAnsi="Arial" w:cs="Arial"/>
          <w:sz w:val="24"/>
          <w:szCs w:val="24"/>
          <w:rtl/>
          <w:lang w:eastAsia="he-IL"/>
        </w:rPr>
        <w:t>הקורס יציג את תולדות האמנות המודרנית בישראל מאז ראשית המאה העשרים ועד להקמת המדינה. האמנות תוצג גם בהקשר היסטורי ופוליטי. השיעורים הראשונים יעסקו באופן שבו הייתה תחילתה של האמנות בישראל, ובעיקר פעולת בית המדרש לאמנות "בצלאל", חלק מן הפרויקט הציוני הכללי מצד אחד וחלק מתפיסת העולם האירופית ביחס ללאומיות ולמזרח מצד שני. לקראת סוף הסמסטר נעסוק באופן שבו החלה האמנות בישראל להתרכז בנוסחי יצירה שנשענו על תפיסות מודרניסטיות ובינלאומיות. בין לבין נעסוק באופן שבו נעשתה היצירה האמנותית לאמצעי מרכזי של מימוש משימות תרבותיות וקיומיות כ"שלילת הגלות", "שיקום הגוף היהודי" או "בריאת תרבות ילידית". במהלך הקורס ידונו המתחים שהתגלו במציאות התרבותית ב"שנות הישוב" בנוגע לשאלות כמו: יהדות או ארצישראליות, מזרח או מערב, סוציאליזם או בורגנות, אמנות בשירות הבניית אומה או ככלי לביטוי הפרטי והאישי.</w:t>
      </w:r>
    </w:p>
    <w:p w:rsidR="00A618BB" w:rsidRPr="00DD31AE" w:rsidRDefault="00A618BB" w:rsidP="00A618BB">
      <w:pPr>
        <w:rPr>
          <w:rFonts w:ascii="Arial" w:eastAsia="Times New Roman" w:hAnsi="Arial" w:cs="Arial"/>
          <w:sz w:val="24"/>
          <w:szCs w:val="24"/>
          <w:rtl/>
          <w:lang w:eastAsia="he-IL"/>
        </w:rPr>
      </w:pPr>
      <w:r w:rsidRPr="00DD31AE">
        <w:rPr>
          <w:rFonts w:ascii="Arial" w:eastAsia="Times New Roman" w:hAnsi="Arial" w:cs="Arial"/>
          <w:sz w:val="24"/>
          <w:szCs w:val="24"/>
          <w:rtl/>
          <w:lang w:eastAsia="he-IL"/>
        </w:rPr>
        <w:t xml:space="preserve">הנחת היסוד של הקורס היא שחלק מן השאלות שעלו במהלך השנים הללו שמורות כמן גנים תרבותיים בזיכרון הקולקטיבי והן עולות וצפות גם ביצירה המאוחרת בארץ. </w:t>
      </w:r>
    </w:p>
    <w:p w:rsidR="00A618BB" w:rsidRPr="00DD31AE" w:rsidRDefault="00A618BB" w:rsidP="00A618BB">
      <w:pPr>
        <w:rPr>
          <w:rFonts w:ascii="Arial" w:eastAsia="Times New Roman" w:hAnsi="Arial" w:cs="Arial"/>
          <w:sz w:val="24"/>
          <w:szCs w:val="24"/>
          <w:rtl/>
          <w:lang w:eastAsia="he-IL"/>
        </w:rPr>
      </w:pPr>
      <w:r w:rsidRPr="00DD31AE">
        <w:rPr>
          <w:rFonts w:ascii="Arial" w:eastAsia="Times New Roman" w:hAnsi="Arial" w:cs="Arial"/>
          <w:sz w:val="24"/>
          <w:szCs w:val="24"/>
          <w:rtl/>
          <w:lang w:eastAsia="he-IL"/>
        </w:rPr>
        <w:t>מטלות: בסיום הסמסטר יידרשו הסטודנטים לכתוב עבודה.</w:t>
      </w:r>
    </w:p>
    <w:p w:rsidR="00A618BB" w:rsidRPr="00DD31AE" w:rsidRDefault="00A618BB" w:rsidP="00A618BB">
      <w:pPr>
        <w:rPr>
          <w:rFonts w:ascii="Arial" w:eastAsia="Times New Roman" w:hAnsi="Arial" w:cs="Arial"/>
          <w:sz w:val="24"/>
          <w:szCs w:val="24"/>
          <w:rtl/>
          <w:lang w:eastAsia="he-IL"/>
        </w:rPr>
      </w:pPr>
    </w:p>
    <w:p w:rsidR="00A618BB" w:rsidRPr="00DD31AE" w:rsidRDefault="00A618BB" w:rsidP="00A618BB">
      <w:pPr>
        <w:rPr>
          <w:rFonts w:ascii="Arial" w:eastAsia="Times New Roman" w:hAnsi="Arial" w:cs="Arial"/>
          <w:b/>
          <w:bCs/>
          <w:sz w:val="24"/>
          <w:szCs w:val="24"/>
          <w:rtl/>
          <w:lang w:eastAsia="he-IL"/>
        </w:rPr>
      </w:pPr>
      <w:r w:rsidRPr="00DD31AE">
        <w:rPr>
          <w:rFonts w:ascii="Arial" w:eastAsia="Times New Roman" w:hAnsi="Arial" w:cs="Arial"/>
          <w:b/>
          <w:bCs/>
          <w:sz w:val="24"/>
          <w:szCs w:val="24"/>
          <w:rtl/>
          <w:lang w:eastAsia="he-IL"/>
        </w:rPr>
        <w:t>תכנית הקורס:</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מבוא. אמנות וזהות. אמנות המאה-19 והמזרח</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אמנות כשיווק הרעיון הציוני</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 xml:space="preserve">בוריס </w:t>
      </w:r>
      <w:proofErr w:type="spellStart"/>
      <w:r w:rsidRPr="00DD31AE">
        <w:rPr>
          <w:rFonts w:ascii="Arial" w:eastAsia="Times New Roman" w:hAnsi="Arial" w:cs="Arial"/>
          <w:sz w:val="24"/>
          <w:szCs w:val="24"/>
          <w:rtl/>
          <w:lang w:eastAsia="he-IL"/>
        </w:rPr>
        <w:t>שץ</w:t>
      </w:r>
      <w:proofErr w:type="spellEnd"/>
      <w:r w:rsidRPr="00DD31AE">
        <w:rPr>
          <w:rFonts w:ascii="Arial" w:eastAsia="Times New Roman" w:hAnsi="Arial" w:cs="Arial"/>
          <w:sz w:val="24"/>
          <w:szCs w:val="24"/>
          <w:rtl/>
          <w:lang w:eastAsia="he-IL"/>
        </w:rPr>
        <w:t xml:space="preserve"> ו"בצלאל"</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 xml:space="preserve">זאב רבן – מחטב האסתטיקה </w:t>
      </w:r>
      <w:proofErr w:type="spellStart"/>
      <w:r w:rsidRPr="00DD31AE">
        <w:rPr>
          <w:rFonts w:ascii="Arial" w:eastAsia="Times New Roman" w:hAnsi="Arial" w:cs="Arial"/>
          <w:sz w:val="24"/>
          <w:szCs w:val="24"/>
          <w:rtl/>
          <w:lang w:eastAsia="he-IL"/>
        </w:rPr>
        <w:t>ה"בצלאלית</w:t>
      </w:r>
      <w:proofErr w:type="spellEnd"/>
      <w:r w:rsidRPr="00DD31AE">
        <w:rPr>
          <w:rFonts w:ascii="Arial" w:eastAsia="Times New Roman" w:hAnsi="Arial" w:cs="Arial"/>
          <w:sz w:val="24"/>
          <w:szCs w:val="24"/>
          <w:rtl/>
          <w:lang w:eastAsia="he-IL"/>
        </w:rPr>
        <w:t>"</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אבל פן – האם סיפורי התנ"ך מכאן נראים אחרת?</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lastRenderedPageBreak/>
        <w:t>שנות העשרים: הניסיון ליצור אמנות לצרכנים מקומיים. הילידיות (</w:t>
      </w:r>
      <w:proofErr w:type="spellStart"/>
      <w:r w:rsidRPr="00DD31AE">
        <w:rPr>
          <w:rFonts w:ascii="Arial" w:eastAsia="Times New Roman" w:hAnsi="Arial" w:cs="Arial"/>
          <w:sz w:val="24"/>
          <w:szCs w:val="24"/>
          <w:rtl/>
          <w:lang w:eastAsia="he-IL"/>
        </w:rPr>
        <w:t>מלניקוב</w:t>
      </w:r>
      <w:proofErr w:type="spellEnd"/>
      <w:r w:rsidRPr="00DD31AE">
        <w:rPr>
          <w:rFonts w:ascii="Arial" w:eastAsia="Times New Roman" w:hAnsi="Arial" w:cs="Arial"/>
          <w:sz w:val="24"/>
          <w:szCs w:val="24"/>
          <w:rtl/>
          <w:lang w:eastAsia="he-IL"/>
        </w:rPr>
        <w:t xml:space="preserve"> וגוטמן)</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ראובן רובין: מאמן אירופי לאמן ארצישראלי</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שנות השלושים: אמנות ותופעות פוסט טראומטיות בתקופת המרד הלאומי הערבי. אמנות בורגנית נוסח אירופה.</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העיצוב הגראפי והצילום לשירות הבניית האומה בשנות השלושים</w:t>
      </w:r>
    </w:p>
    <w:p w:rsidR="00A618BB" w:rsidRPr="00DD31AE" w:rsidRDefault="00A618BB" w:rsidP="00A618BB">
      <w:pPr>
        <w:numPr>
          <w:ilvl w:val="0"/>
          <w:numId w:val="1"/>
        </w:numPr>
        <w:spacing w:after="0" w:line="480" w:lineRule="auto"/>
        <w:rPr>
          <w:rFonts w:ascii="Arial" w:eastAsia="Times New Roman" w:hAnsi="Arial" w:cs="Arial"/>
          <w:sz w:val="24"/>
          <w:szCs w:val="24"/>
          <w:rtl/>
          <w:lang w:eastAsia="he-IL"/>
        </w:rPr>
      </w:pPr>
      <w:r w:rsidRPr="00DD31AE">
        <w:rPr>
          <w:rFonts w:ascii="Arial" w:eastAsia="Times New Roman" w:hAnsi="Arial" w:cs="Arial"/>
          <w:sz w:val="24"/>
          <w:szCs w:val="24"/>
          <w:rtl/>
          <w:lang w:eastAsia="he-IL"/>
        </w:rPr>
        <w:t>כנעניות: המהפכה של הזינוק לאחור. נמרוד</w:t>
      </w:r>
    </w:p>
    <w:p w:rsidR="00A618BB" w:rsidRDefault="00A618BB" w:rsidP="00A618BB">
      <w:pPr>
        <w:numPr>
          <w:ilvl w:val="0"/>
          <w:numId w:val="1"/>
        </w:numPr>
        <w:spacing w:after="0" w:line="480" w:lineRule="auto"/>
        <w:rPr>
          <w:rFonts w:ascii="Arial" w:eastAsia="Times New Roman" w:hAnsi="Arial" w:cs="Arial" w:hint="cs"/>
          <w:sz w:val="24"/>
          <w:szCs w:val="24"/>
          <w:lang w:eastAsia="he-IL"/>
        </w:rPr>
      </w:pPr>
      <w:r w:rsidRPr="00DD31AE">
        <w:rPr>
          <w:rFonts w:ascii="Arial" w:eastAsia="Times New Roman" w:hAnsi="Arial" w:cs="Arial"/>
          <w:sz w:val="24"/>
          <w:szCs w:val="24"/>
          <w:rtl/>
          <w:lang w:eastAsia="he-IL"/>
        </w:rPr>
        <w:t>אמנות מקומית ואמנות אוניברסאלית ערב הקמת המדינה. המאבק על העמדה המודרניסטית.</w:t>
      </w:r>
    </w:p>
    <w:p w:rsidR="00DD31AE" w:rsidRPr="00DD31AE" w:rsidRDefault="00DD31AE" w:rsidP="00DD31AE">
      <w:pPr>
        <w:spacing w:after="0" w:line="480" w:lineRule="auto"/>
        <w:rPr>
          <w:rFonts w:ascii="Arial" w:eastAsia="Times New Roman" w:hAnsi="Arial" w:cs="Arial"/>
          <w:sz w:val="24"/>
          <w:szCs w:val="24"/>
          <w:rtl/>
          <w:lang w:eastAsia="he-IL"/>
        </w:rPr>
      </w:pPr>
    </w:p>
    <w:p w:rsidR="00FF1845" w:rsidRPr="00DD31AE" w:rsidRDefault="00DD31AE">
      <w:pPr>
        <w:rPr>
          <w:rFonts w:ascii="Arial" w:hAnsi="Arial" w:cs="Arial"/>
          <w:b/>
          <w:bCs/>
          <w:sz w:val="24"/>
          <w:szCs w:val="24"/>
          <w:rtl/>
        </w:rPr>
      </w:pPr>
      <w:r w:rsidRPr="00DD31AE">
        <w:rPr>
          <w:rFonts w:ascii="Arial" w:hAnsi="Arial" w:cs="Arial" w:hint="cs"/>
          <w:b/>
          <w:bCs/>
          <w:sz w:val="24"/>
          <w:szCs w:val="24"/>
          <w:rtl/>
        </w:rPr>
        <w:t>ביבליוגרפיה</w:t>
      </w:r>
    </w:p>
    <w:p w:rsidR="00DD31AE" w:rsidRPr="00DD31AE" w:rsidRDefault="00DD31AE" w:rsidP="00DD31AE">
      <w:pPr>
        <w:rPr>
          <w:rFonts w:ascii="Arial" w:hAnsi="Arial" w:cs="Arial"/>
          <w:sz w:val="24"/>
          <w:szCs w:val="24"/>
        </w:rPr>
      </w:pPr>
      <w:r w:rsidRPr="00DD31AE">
        <w:rPr>
          <w:rFonts w:ascii="Arial" w:hAnsi="Arial" w:cs="Arial"/>
          <w:sz w:val="24"/>
          <w:szCs w:val="24"/>
          <w:rtl/>
        </w:rPr>
        <w:t xml:space="preserve">בלס, ג', </w:t>
      </w:r>
      <w:proofErr w:type="spellStart"/>
      <w:r w:rsidRPr="00DD31AE">
        <w:rPr>
          <w:rFonts w:ascii="Arial" w:hAnsi="Arial" w:cs="Arial"/>
          <w:sz w:val="24"/>
          <w:szCs w:val="24"/>
          <w:rtl/>
        </w:rPr>
        <w:t>אפקים</w:t>
      </w:r>
      <w:proofErr w:type="spellEnd"/>
      <w:r w:rsidRPr="00DD31AE">
        <w:rPr>
          <w:rFonts w:ascii="Arial" w:hAnsi="Arial" w:cs="Arial"/>
          <w:sz w:val="24"/>
          <w:szCs w:val="24"/>
          <w:rtl/>
        </w:rPr>
        <w:t xml:space="preserve"> חדשים, רשפים, 1980</w:t>
      </w:r>
    </w:p>
    <w:p w:rsidR="00DD31AE" w:rsidRPr="00DD31AE" w:rsidRDefault="00DD31AE" w:rsidP="00DD31AE">
      <w:pPr>
        <w:rPr>
          <w:rFonts w:ascii="Arial" w:hAnsi="Arial" w:cs="Arial"/>
          <w:sz w:val="24"/>
          <w:szCs w:val="24"/>
          <w:rtl/>
        </w:rPr>
      </w:pPr>
      <w:r w:rsidRPr="00DD31AE">
        <w:rPr>
          <w:rFonts w:ascii="Arial" w:hAnsi="Arial" w:cs="Arial"/>
          <w:sz w:val="24"/>
          <w:szCs w:val="24"/>
          <w:rtl/>
        </w:rPr>
        <w:t xml:space="preserve">בר אור ג', עפרת ג', העשור הראשון: הגמוניה וריבוי, קטלוג תערוכה, משכן לאמנות, עין </w:t>
      </w:r>
      <w:proofErr w:type="spellStart"/>
      <w:r w:rsidRPr="00DD31AE">
        <w:rPr>
          <w:rFonts w:ascii="Arial" w:hAnsi="Arial" w:cs="Arial"/>
          <w:sz w:val="24"/>
          <w:szCs w:val="24"/>
          <w:rtl/>
        </w:rPr>
        <w:t>חרוד</w:t>
      </w:r>
      <w:proofErr w:type="spellEnd"/>
      <w:r w:rsidRPr="00DD31AE">
        <w:rPr>
          <w:rFonts w:ascii="Arial" w:hAnsi="Arial" w:cs="Arial"/>
          <w:sz w:val="24"/>
          <w:szCs w:val="24"/>
          <w:rtl/>
        </w:rPr>
        <w:t>, 2008</w:t>
      </w:r>
    </w:p>
    <w:p w:rsidR="00DD31AE" w:rsidRPr="00DD31AE" w:rsidRDefault="00DD31AE" w:rsidP="00DD31AE">
      <w:pPr>
        <w:rPr>
          <w:rFonts w:ascii="Arial" w:hAnsi="Arial" w:cs="Arial"/>
          <w:sz w:val="24"/>
          <w:szCs w:val="24"/>
          <w:rtl/>
        </w:rPr>
      </w:pPr>
      <w:proofErr w:type="spellStart"/>
      <w:r w:rsidRPr="00DD31AE">
        <w:rPr>
          <w:rFonts w:ascii="Arial" w:hAnsi="Arial" w:cs="Arial"/>
          <w:sz w:val="24"/>
          <w:szCs w:val="24"/>
          <w:rtl/>
        </w:rPr>
        <w:t>בריטברג</w:t>
      </w:r>
      <w:proofErr w:type="spellEnd"/>
      <w:r w:rsidRPr="00DD31AE">
        <w:rPr>
          <w:rFonts w:ascii="Arial" w:hAnsi="Arial" w:cs="Arial"/>
          <w:sz w:val="24"/>
          <w:szCs w:val="24"/>
          <w:rtl/>
        </w:rPr>
        <w:t xml:space="preserve">-סמל, ש', "אגריפס נגד נמרוד", ידיעות אחרונות, 1 </w:t>
      </w:r>
      <w:proofErr w:type="spellStart"/>
      <w:r w:rsidRPr="00DD31AE">
        <w:rPr>
          <w:rFonts w:ascii="Arial" w:hAnsi="Arial" w:cs="Arial"/>
          <w:sz w:val="24"/>
          <w:szCs w:val="24"/>
          <w:rtl/>
        </w:rPr>
        <w:t>בסםפטמבר</w:t>
      </w:r>
      <w:proofErr w:type="spellEnd"/>
      <w:r w:rsidRPr="00DD31AE">
        <w:rPr>
          <w:rFonts w:ascii="Arial" w:hAnsi="Arial" w:cs="Arial"/>
          <w:sz w:val="24"/>
          <w:szCs w:val="24"/>
          <w:rtl/>
        </w:rPr>
        <w:t xml:space="preserve"> 1988</w:t>
      </w:r>
    </w:p>
    <w:p w:rsidR="00DD31AE" w:rsidRPr="00DD31AE" w:rsidRDefault="00DD31AE" w:rsidP="00DD31AE">
      <w:pPr>
        <w:rPr>
          <w:rFonts w:ascii="Arial" w:hAnsi="Arial" w:cs="Arial"/>
          <w:sz w:val="24"/>
          <w:szCs w:val="24"/>
          <w:rtl/>
        </w:rPr>
      </w:pPr>
      <w:r w:rsidRPr="00DD31AE">
        <w:rPr>
          <w:rFonts w:ascii="Arial" w:hAnsi="Arial" w:cs="Arial"/>
          <w:sz w:val="24"/>
          <w:szCs w:val="24"/>
          <w:rtl/>
        </w:rPr>
        <w:t>גולדמן, ב-ש', זאב רבן: סימבוליסט עברי, מוזיאון תל-אביב, 2003</w:t>
      </w:r>
    </w:p>
    <w:p w:rsidR="00DD31AE" w:rsidRPr="00DD31AE" w:rsidRDefault="00DD31AE" w:rsidP="00DD31AE">
      <w:pPr>
        <w:rPr>
          <w:rFonts w:ascii="Arial" w:hAnsi="Arial" w:cs="Arial"/>
          <w:sz w:val="24"/>
          <w:szCs w:val="24"/>
          <w:rtl/>
        </w:rPr>
      </w:pPr>
      <w:r w:rsidRPr="00DD31AE">
        <w:rPr>
          <w:rFonts w:ascii="Arial" w:hAnsi="Arial" w:cs="Arial"/>
          <w:sz w:val="24"/>
          <w:szCs w:val="24"/>
          <w:rtl/>
        </w:rPr>
        <w:t xml:space="preserve">גורביץ, ז', </w:t>
      </w:r>
      <w:proofErr w:type="spellStart"/>
      <w:r w:rsidRPr="00DD31AE">
        <w:rPr>
          <w:rFonts w:ascii="Arial" w:hAnsi="Arial" w:cs="Arial"/>
          <w:sz w:val="24"/>
          <w:szCs w:val="24"/>
          <w:rtl/>
        </w:rPr>
        <w:t>ארן</w:t>
      </w:r>
      <w:proofErr w:type="spellEnd"/>
      <w:r w:rsidRPr="00DD31AE">
        <w:rPr>
          <w:rFonts w:ascii="Arial" w:hAnsi="Arial" w:cs="Arial"/>
          <w:sz w:val="24"/>
          <w:szCs w:val="24"/>
          <w:rtl/>
        </w:rPr>
        <w:t xml:space="preserve">, ג', "על המקום: אנתרופולוגיה ישראלית", אלפיים 4, 1991, </w:t>
      </w:r>
      <w:proofErr w:type="spellStart"/>
      <w:r w:rsidRPr="00DD31AE">
        <w:rPr>
          <w:rFonts w:ascii="Arial" w:hAnsi="Arial" w:cs="Arial"/>
          <w:sz w:val="24"/>
          <w:szCs w:val="24"/>
          <w:rtl/>
        </w:rPr>
        <w:t>עמ</w:t>
      </w:r>
      <w:proofErr w:type="spellEnd"/>
      <w:r w:rsidRPr="00DD31AE">
        <w:rPr>
          <w:rFonts w:ascii="Arial" w:hAnsi="Arial" w:cs="Arial"/>
          <w:sz w:val="24"/>
          <w:szCs w:val="24"/>
          <w:rtl/>
        </w:rPr>
        <w:t xml:space="preserve"> 9-44</w:t>
      </w:r>
    </w:p>
    <w:p w:rsidR="00DD31AE" w:rsidRPr="00DD31AE" w:rsidRDefault="00DD31AE" w:rsidP="00DD31AE">
      <w:pPr>
        <w:rPr>
          <w:rFonts w:ascii="Arial" w:hAnsi="Arial" w:cs="Arial"/>
          <w:sz w:val="24"/>
          <w:szCs w:val="24"/>
          <w:rtl/>
        </w:rPr>
      </w:pPr>
      <w:r w:rsidRPr="00DD31AE">
        <w:rPr>
          <w:rFonts w:ascii="Arial" w:hAnsi="Arial" w:cs="Arial"/>
          <w:sz w:val="24"/>
          <w:szCs w:val="24"/>
          <w:rtl/>
        </w:rPr>
        <w:t>גלוזמן, מ',  הגוף הציוני: לאומיות, מגדר ומיניות בספרות העברית החדשה, הקיבוץ המאוחד, 2007</w:t>
      </w:r>
    </w:p>
    <w:p w:rsidR="00DD31AE" w:rsidRPr="00DD31AE" w:rsidRDefault="00DD31AE" w:rsidP="00DD31AE">
      <w:pPr>
        <w:rPr>
          <w:rFonts w:ascii="Arial" w:hAnsi="Arial" w:cs="Arial"/>
          <w:sz w:val="24"/>
          <w:szCs w:val="24"/>
          <w:rtl/>
        </w:rPr>
      </w:pPr>
      <w:r w:rsidRPr="00DD31AE">
        <w:rPr>
          <w:rFonts w:ascii="Arial" w:hAnsi="Arial" w:cs="Arial"/>
          <w:sz w:val="24"/>
          <w:szCs w:val="24"/>
          <w:rtl/>
        </w:rPr>
        <w:t xml:space="preserve">חינסקי, ש', "שתיקת הדגים: מקומי </w:t>
      </w:r>
      <w:proofErr w:type="spellStart"/>
      <w:r w:rsidRPr="00DD31AE">
        <w:rPr>
          <w:rFonts w:ascii="Arial" w:hAnsi="Arial" w:cs="Arial"/>
          <w:sz w:val="24"/>
          <w:szCs w:val="24"/>
          <w:rtl/>
        </w:rPr>
        <w:t>ואוניברסלי</w:t>
      </w:r>
      <w:proofErr w:type="spellEnd"/>
      <w:r w:rsidRPr="00DD31AE">
        <w:rPr>
          <w:rFonts w:ascii="Arial" w:hAnsi="Arial" w:cs="Arial"/>
          <w:sz w:val="24"/>
          <w:szCs w:val="24"/>
          <w:rtl/>
        </w:rPr>
        <w:t xml:space="preserve"> בשיח האמנות הישראלית" תיאוריה וביקורת 4, 1993</w:t>
      </w:r>
    </w:p>
    <w:p w:rsidR="00DD31AE" w:rsidRPr="00DD31AE" w:rsidRDefault="00DD31AE" w:rsidP="00DD31AE">
      <w:pPr>
        <w:rPr>
          <w:rFonts w:ascii="Arial" w:hAnsi="Arial" w:cs="Arial"/>
          <w:sz w:val="24"/>
          <w:szCs w:val="24"/>
          <w:rtl/>
        </w:rPr>
      </w:pPr>
      <w:r w:rsidRPr="00DD31AE">
        <w:rPr>
          <w:rFonts w:ascii="Arial" w:hAnsi="Arial" w:cs="Arial"/>
          <w:sz w:val="24"/>
          <w:szCs w:val="24"/>
          <w:rtl/>
        </w:rPr>
        <w:t xml:space="preserve">חינסקי, ש', "רוקמות התחרה </w:t>
      </w:r>
      <w:proofErr w:type="spellStart"/>
      <w:r w:rsidRPr="00DD31AE">
        <w:rPr>
          <w:rFonts w:ascii="Arial" w:hAnsi="Arial" w:cs="Arial"/>
          <w:sz w:val="24"/>
          <w:szCs w:val="24"/>
          <w:rtl/>
        </w:rPr>
        <w:t>מ'בצלאל</w:t>
      </w:r>
      <w:proofErr w:type="spellEnd"/>
      <w:r w:rsidRPr="00DD31AE">
        <w:rPr>
          <w:rFonts w:ascii="Arial" w:hAnsi="Arial" w:cs="Arial"/>
          <w:sz w:val="24"/>
          <w:szCs w:val="24"/>
          <w:rtl/>
        </w:rPr>
        <w:t>', תיאוריה וביקורת 11, 1997</w:t>
      </w:r>
    </w:p>
    <w:p w:rsidR="00DD31AE" w:rsidRPr="00DD31AE" w:rsidRDefault="00DD31AE" w:rsidP="00DD31AE">
      <w:pPr>
        <w:rPr>
          <w:rFonts w:ascii="Arial" w:hAnsi="Arial" w:cs="Arial"/>
          <w:sz w:val="24"/>
          <w:szCs w:val="24"/>
          <w:rtl/>
        </w:rPr>
      </w:pPr>
      <w:r w:rsidRPr="00DD31AE">
        <w:rPr>
          <w:rFonts w:ascii="Arial" w:hAnsi="Arial" w:cs="Arial"/>
          <w:sz w:val="24"/>
          <w:szCs w:val="24"/>
          <w:rtl/>
        </w:rPr>
        <w:t xml:space="preserve">חינסקי, ש', "'עיניים עצומות לרווחה': על תסמונת הלבקנות הנרכשת בשדה האמנות הישראלית", קולוניאליות והמצב הפוסט קולוניאלי, הקיבוץ המאוחד, מכון </w:t>
      </w:r>
      <w:proofErr w:type="spellStart"/>
      <w:r w:rsidRPr="00DD31AE">
        <w:rPr>
          <w:rFonts w:ascii="Arial" w:hAnsi="Arial" w:cs="Arial"/>
          <w:sz w:val="24"/>
          <w:szCs w:val="24"/>
          <w:rtl/>
        </w:rPr>
        <w:t>ון</w:t>
      </w:r>
      <w:proofErr w:type="spellEnd"/>
      <w:r w:rsidRPr="00DD31AE">
        <w:rPr>
          <w:rFonts w:ascii="Arial" w:hAnsi="Arial" w:cs="Arial"/>
          <w:sz w:val="24"/>
          <w:szCs w:val="24"/>
          <w:rtl/>
        </w:rPr>
        <w:t xml:space="preserve"> </w:t>
      </w:r>
      <w:proofErr w:type="spellStart"/>
      <w:r w:rsidRPr="00DD31AE">
        <w:rPr>
          <w:rFonts w:ascii="Arial" w:hAnsi="Arial" w:cs="Arial"/>
          <w:sz w:val="24"/>
          <w:szCs w:val="24"/>
          <w:rtl/>
        </w:rPr>
        <w:t>ליר</w:t>
      </w:r>
      <w:proofErr w:type="spellEnd"/>
      <w:r w:rsidRPr="00DD31AE">
        <w:rPr>
          <w:rFonts w:ascii="Arial" w:hAnsi="Arial" w:cs="Arial"/>
          <w:sz w:val="24"/>
          <w:szCs w:val="24"/>
          <w:rtl/>
        </w:rPr>
        <w:t xml:space="preserve">, 2004, </w:t>
      </w:r>
      <w:proofErr w:type="spellStart"/>
      <w:r w:rsidRPr="00DD31AE">
        <w:rPr>
          <w:rFonts w:ascii="Arial" w:hAnsi="Arial" w:cs="Arial"/>
          <w:sz w:val="24"/>
          <w:szCs w:val="24"/>
          <w:rtl/>
        </w:rPr>
        <w:t>עמ</w:t>
      </w:r>
      <w:proofErr w:type="spellEnd"/>
      <w:r w:rsidRPr="00DD31AE">
        <w:rPr>
          <w:rFonts w:ascii="Arial" w:hAnsi="Arial" w:cs="Arial"/>
          <w:sz w:val="24"/>
          <w:szCs w:val="24"/>
          <w:rtl/>
        </w:rPr>
        <w:t>' 257-284</w:t>
      </w:r>
    </w:p>
    <w:p w:rsidR="00DD31AE" w:rsidRPr="00DD31AE" w:rsidRDefault="00DD31AE" w:rsidP="00DD31AE">
      <w:pPr>
        <w:rPr>
          <w:rFonts w:ascii="Arial" w:hAnsi="Arial" w:cs="Arial"/>
          <w:sz w:val="24"/>
          <w:szCs w:val="24"/>
          <w:rtl/>
        </w:rPr>
      </w:pPr>
      <w:r w:rsidRPr="00DD31AE">
        <w:rPr>
          <w:rFonts w:ascii="Arial" w:hAnsi="Arial" w:cs="Arial"/>
          <w:sz w:val="24"/>
          <w:szCs w:val="24"/>
          <w:rtl/>
        </w:rPr>
        <w:t>טמיר, ט', יוחנן סימון: דיוקן כפול, קטלוג תערוכה, מוזיאון תל אביב לאמנות, 2001</w:t>
      </w:r>
    </w:p>
    <w:p w:rsidR="00DD31AE" w:rsidRPr="00DD31AE" w:rsidRDefault="00DD31AE" w:rsidP="00DD31AE">
      <w:pPr>
        <w:rPr>
          <w:rFonts w:ascii="Arial" w:hAnsi="Arial" w:cs="Arial"/>
          <w:sz w:val="24"/>
          <w:szCs w:val="24"/>
          <w:rtl/>
        </w:rPr>
      </w:pPr>
      <w:r w:rsidRPr="00DD31AE">
        <w:rPr>
          <w:rFonts w:ascii="Arial" w:hAnsi="Arial" w:cs="Arial"/>
          <w:sz w:val="24"/>
          <w:szCs w:val="24"/>
          <w:rtl/>
        </w:rPr>
        <w:t>טרכטנברג, ג', בין לאומיות לאמנות: כינון שדה האמנות בתקופת הישוב ובראשית שנות המדינה, מאגנס,  2005</w:t>
      </w:r>
    </w:p>
    <w:p w:rsidR="00DD31AE" w:rsidRPr="00DD31AE" w:rsidRDefault="00DD31AE" w:rsidP="00DD31AE">
      <w:pPr>
        <w:rPr>
          <w:rFonts w:ascii="Arial" w:hAnsi="Arial" w:cs="Arial"/>
          <w:sz w:val="24"/>
          <w:szCs w:val="24"/>
          <w:rtl/>
        </w:rPr>
      </w:pPr>
      <w:r w:rsidRPr="00DD31AE">
        <w:rPr>
          <w:rFonts w:ascii="Arial" w:hAnsi="Arial" w:cs="Arial"/>
          <w:sz w:val="24"/>
          <w:szCs w:val="24"/>
          <w:rtl/>
        </w:rPr>
        <w:t>מנדלסון, א', נביא בעירו: יצירתו המוקדמת של ראובן רובין, 1914-1923, קטלוג תערוכה, מוזיאון ישראל, ירושלים, 2006</w:t>
      </w:r>
    </w:p>
    <w:p w:rsidR="00DD31AE" w:rsidRPr="00DD31AE" w:rsidRDefault="00DD31AE" w:rsidP="00DD31AE">
      <w:pPr>
        <w:rPr>
          <w:rFonts w:ascii="Arial" w:hAnsi="Arial" w:cs="Arial"/>
          <w:sz w:val="24"/>
          <w:szCs w:val="24"/>
          <w:rtl/>
        </w:rPr>
      </w:pPr>
      <w:r w:rsidRPr="00DD31AE">
        <w:rPr>
          <w:rFonts w:ascii="Arial" w:hAnsi="Arial" w:cs="Arial"/>
          <w:sz w:val="24"/>
          <w:szCs w:val="24"/>
          <w:rtl/>
        </w:rPr>
        <w:lastRenderedPageBreak/>
        <w:t>נוימן, ב', תשוקת החלוצים, עם עובד, המכללה האקדמית ספיר, 2009</w:t>
      </w:r>
    </w:p>
    <w:p w:rsidR="00DD31AE" w:rsidRPr="00DD31AE" w:rsidRDefault="00DD31AE" w:rsidP="00DD31AE">
      <w:pPr>
        <w:rPr>
          <w:rFonts w:ascii="Arial" w:hAnsi="Arial" w:cs="Arial"/>
          <w:sz w:val="24"/>
          <w:szCs w:val="24"/>
          <w:rtl/>
        </w:rPr>
      </w:pPr>
      <w:r w:rsidRPr="00DD31AE">
        <w:rPr>
          <w:rFonts w:ascii="Arial" w:hAnsi="Arial" w:cs="Arial"/>
          <w:sz w:val="24"/>
          <w:szCs w:val="24"/>
          <w:rtl/>
        </w:rPr>
        <w:t>סעיד, א', אוריינטליזם, עם עובד, מרכז חיים הרצוג, 2000</w:t>
      </w:r>
    </w:p>
    <w:p w:rsidR="00DD31AE" w:rsidRPr="00DD31AE" w:rsidRDefault="00DD31AE" w:rsidP="00DD31AE">
      <w:pPr>
        <w:rPr>
          <w:rFonts w:ascii="Arial" w:hAnsi="Arial" w:cs="Arial"/>
          <w:sz w:val="24"/>
          <w:szCs w:val="24"/>
          <w:rtl/>
        </w:rPr>
      </w:pPr>
      <w:r w:rsidRPr="00DD31AE">
        <w:rPr>
          <w:rFonts w:ascii="Arial" w:hAnsi="Arial" w:cs="Arial"/>
          <w:sz w:val="24"/>
          <w:szCs w:val="24"/>
          <w:rtl/>
        </w:rPr>
        <w:t>עומר, מ', יצחק דנציגר, קטלוג תערוכה, מוזיאון תל אביב לאמנות, 1996</w:t>
      </w:r>
    </w:p>
    <w:p w:rsidR="00DD31AE" w:rsidRPr="00DD31AE" w:rsidRDefault="00DD31AE" w:rsidP="00DD31AE">
      <w:pPr>
        <w:rPr>
          <w:rFonts w:ascii="Arial" w:hAnsi="Arial" w:cs="Arial"/>
          <w:sz w:val="24"/>
          <w:szCs w:val="24"/>
          <w:rtl/>
        </w:rPr>
      </w:pPr>
      <w:r w:rsidRPr="00DD31AE">
        <w:rPr>
          <w:rFonts w:ascii="Arial" w:hAnsi="Arial" w:cs="Arial"/>
          <w:sz w:val="24"/>
          <w:szCs w:val="24"/>
          <w:rtl/>
        </w:rPr>
        <w:t>עומר, מ' (עורך), יצחק דנציגר: מקום, תל-אביב, 1982</w:t>
      </w:r>
    </w:p>
    <w:p w:rsidR="00DD31AE" w:rsidRPr="00DD31AE" w:rsidRDefault="00DD31AE" w:rsidP="00DD31AE">
      <w:pPr>
        <w:rPr>
          <w:rFonts w:ascii="Arial" w:hAnsi="Arial" w:cs="Arial"/>
          <w:sz w:val="24"/>
          <w:szCs w:val="24"/>
          <w:rtl/>
        </w:rPr>
      </w:pPr>
      <w:r w:rsidRPr="00DD31AE">
        <w:rPr>
          <w:rFonts w:ascii="Arial" w:hAnsi="Arial" w:cs="Arial"/>
          <w:sz w:val="24"/>
          <w:szCs w:val="24"/>
          <w:rtl/>
        </w:rPr>
        <w:t>פרידלנדר עפרת, ג', שיבת ציון - מעבר לעיקרון המקום, קטלוג תערוכה, זמן לאמנות, תל-אביב, 2002</w:t>
      </w:r>
    </w:p>
    <w:p w:rsidR="00DD31AE" w:rsidRPr="00DD31AE" w:rsidRDefault="00DD31AE" w:rsidP="00DD31AE">
      <w:pPr>
        <w:rPr>
          <w:rFonts w:ascii="Arial" w:hAnsi="Arial" w:cs="Arial"/>
          <w:sz w:val="24"/>
          <w:szCs w:val="24"/>
          <w:rtl/>
        </w:rPr>
      </w:pPr>
      <w:proofErr w:type="spellStart"/>
      <w:r w:rsidRPr="00DD31AE">
        <w:rPr>
          <w:rFonts w:ascii="Arial" w:hAnsi="Arial" w:cs="Arial"/>
          <w:sz w:val="24"/>
          <w:szCs w:val="24"/>
          <w:rtl/>
        </w:rPr>
        <w:t>צלמונה</w:t>
      </w:r>
      <w:proofErr w:type="spellEnd"/>
      <w:r w:rsidRPr="00DD31AE">
        <w:rPr>
          <w:rFonts w:ascii="Arial" w:hAnsi="Arial" w:cs="Arial"/>
          <w:sz w:val="24"/>
          <w:szCs w:val="24"/>
          <w:rtl/>
        </w:rPr>
        <w:t xml:space="preserve">, י', ימי מגדל דוד: מלחמת התרבות הראשונה באמנות ישראל, מוזיאון מגדל דוד </w:t>
      </w:r>
    </w:p>
    <w:p w:rsidR="00DD31AE" w:rsidRPr="00DD31AE" w:rsidRDefault="00DD31AE" w:rsidP="00DD31AE">
      <w:pPr>
        <w:rPr>
          <w:rFonts w:ascii="Arial" w:hAnsi="Arial" w:cs="Arial"/>
          <w:sz w:val="24"/>
          <w:szCs w:val="24"/>
          <w:rtl/>
        </w:rPr>
      </w:pPr>
      <w:r w:rsidRPr="00DD31AE">
        <w:rPr>
          <w:rFonts w:ascii="Arial" w:hAnsi="Arial" w:cs="Arial"/>
          <w:sz w:val="24"/>
          <w:szCs w:val="24"/>
          <w:rtl/>
        </w:rPr>
        <w:t xml:space="preserve"> לתולדות ירושלים, קטלוג תערוכה, 1991 </w:t>
      </w:r>
    </w:p>
    <w:p w:rsidR="00DD31AE" w:rsidRPr="00DD31AE" w:rsidRDefault="00DD31AE" w:rsidP="00DD31AE">
      <w:pPr>
        <w:rPr>
          <w:rFonts w:ascii="Arial" w:hAnsi="Arial" w:cs="Arial"/>
          <w:sz w:val="24"/>
          <w:szCs w:val="24"/>
          <w:rtl/>
        </w:rPr>
      </w:pPr>
      <w:proofErr w:type="spellStart"/>
      <w:r w:rsidRPr="00DD31AE">
        <w:rPr>
          <w:rFonts w:ascii="Arial" w:hAnsi="Arial" w:cs="Arial"/>
          <w:sz w:val="24"/>
          <w:szCs w:val="24"/>
          <w:rtl/>
        </w:rPr>
        <w:t>צלמונה</w:t>
      </w:r>
      <w:proofErr w:type="spellEnd"/>
      <w:r w:rsidRPr="00DD31AE">
        <w:rPr>
          <w:rFonts w:ascii="Arial" w:hAnsi="Arial" w:cs="Arial"/>
          <w:sz w:val="24"/>
          <w:szCs w:val="24"/>
          <w:rtl/>
        </w:rPr>
        <w:t>, י', קדימה: המזרח באמנות ישראל, מוזיאון ישראל, ירושלים, קטלוג תערוכה, 1998</w:t>
      </w:r>
    </w:p>
    <w:p w:rsidR="00DD31AE" w:rsidRPr="00DD31AE" w:rsidRDefault="00DD31AE" w:rsidP="00DD31AE">
      <w:pPr>
        <w:rPr>
          <w:rFonts w:ascii="Arial" w:hAnsi="Arial" w:cs="Arial"/>
          <w:sz w:val="24"/>
          <w:szCs w:val="24"/>
          <w:rtl/>
        </w:rPr>
      </w:pPr>
      <w:proofErr w:type="spellStart"/>
      <w:r w:rsidRPr="00DD31AE">
        <w:rPr>
          <w:rFonts w:ascii="Arial" w:hAnsi="Arial" w:cs="Arial"/>
          <w:sz w:val="24"/>
          <w:szCs w:val="24"/>
          <w:rtl/>
        </w:rPr>
        <w:t>צלמונה</w:t>
      </w:r>
      <w:proofErr w:type="spellEnd"/>
      <w:r w:rsidRPr="00DD31AE">
        <w:rPr>
          <w:rFonts w:ascii="Arial" w:hAnsi="Arial" w:cs="Arial"/>
          <w:sz w:val="24"/>
          <w:szCs w:val="24"/>
          <w:rtl/>
        </w:rPr>
        <w:t xml:space="preserve">, י', שחורה אני ונאווה: התנ"ך בתמונות של אבל פן, מוזיאון ישראל, ירושלים,קטלוג </w:t>
      </w:r>
    </w:p>
    <w:p w:rsidR="00DD31AE" w:rsidRPr="00DD31AE" w:rsidRDefault="00DD31AE" w:rsidP="00DD31AE">
      <w:pPr>
        <w:rPr>
          <w:rFonts w:ascii="Arial" w:hAnsi="Arial" w:cs="Arial"/>
          <w:sz w:val="24"/>
          <w:szCs w:val="24"/>
          <w:rtl/>
        </w:rPr>
      </w:pPr>
      <w:r w:rsidRPr="00DD31AE">
        <w:rPr>
          <w:rFonts w:ascii="Arial" w:hAnsi="Arial" w:cs="Arial"/>
          <w:sz w:val="24"/>
          <w:szCs w:val="24"/>
          <w:rtl/>
        </w:rPr>
        <w:t xml:space="preserve">               תערוכה, 2003</w:t>
      </w:r>
    </w:p>
    <w:p w:rsidR="00DD31AE" w:rsidRPr="00DD31AE" w:rsidRDefault="00DD31AE" w:rsidP="00DD31AE">
      <w:pPr>
        <w:rPr>
          <w:rFonts w:ascii="Arial" w:hAnsi="Arial" w:cs="Arial"/>
          <w:sz w:val="24"/>
          <w:szCs w:val="24"/>
          <w:rtl/>
        </w:rPr>
      </w:pPr>
      <w:proofErr w:type="spellStart"/>
      <w:r w:rsidRPr="00DD31AE">
        <w:rPr>
          <w:rFonts w:ascii="Arial" w:hAnsi="Arial" w:cs="Arial"/>
          <w:sz w:val="24"/>
          <w:szCs w:val="24"/>
          <w:rtl/>
        </w:rPr>
        <w:t>צלמונה</w:t>
      </w:r>
      <w:proofErr w:type="spellEnd"/>
      <w:r w:rsidRPr="00DD31AE">
        <w:rPr>
          <w:rFonts w:ascii="Arial" w:hAnsi="Arial" w:cs="Arial"/>
          <w:sz w:val="24"/>
          <w:szCs w:val="24"/>
          <w:rtl/>
        </w:rPr>
        <w:t xml:space="preserve">, י', בוריס </w:t>
      </w:r>
      <w:proofErr w:type="spellStart"/>
      <w:r w:rsidRPr="00DD31AE">
        <w:rPr>
          <w:rFonts w:ascii="Arial" w:hAnsi="Arial" w:cs="Arial"/>
          <w:sz w:val="24"/>
          <w:szCs w:val="24"/>
          <w:rtl/>
        </w:rPr>
        <w:t>שץ</w:t>
      </w:r>
      <w:proofErr w:type="spellEnd"/>
      <w:r w:rsidRPr="00DD31AE">
        <w:rPr>
          <w:rFonts w:ascii="Arial" w:hAnsi="Arial" w:cs="Arial"/>
          <w:sz w:val="24"/>
          <w:szCs w:val="24"/>
          <w:rtl/>
        </w:rPr>
        <w:t xml:space="preserve">, כהן אמנות: חזונו ויצירתו של אבי האמנות הישראלית, מוזיאון ישראל, </w:t>
      </w:r>
    </w:p>
    <w:p w:rsidR="00DD31AE" w:rsidRPr="00DD31AE" w:rsidRDefault="00DD31AE" w:rsidP="00DD31AE">
      <w:pPr>
        <w:rPr>
          <w:rFonts w:ascii="Arial" w:hAnsi="Arial" w:cs="Arial"/>
          <w:sz w:val="24"/>
          <w:szCs w:val="24"/>
          <w:rtl/>
        </w:rPr>
      </w:pPr>
      <w:r w:rsidRPr="00DD31AE">
        <w:rPr>
          <w:rFonts w:ascii="Arial" w:hAnsi="Arial" w:cs="Arial"/>
          <w:sz w:val="24"/>
          <w:szCs w:val="24"/>
          <w:rtl/>
        </w:rPr>
        <w:t>ירושלים, קטלוג תערוכה, 2006</w:t>
      </w:r>
    </w:p>
    <w:p w:rsidR="00DD31AE" w:rsidRPr="00DD31AE" w:rsidRDefault="00DD31AE" w:rsidP="00DD31AE">
      <w:pPr>
        <w:rPr>
          <w:rFonts w:ascii="Arial" w:hAnsi="Arial" w:cs="Arial"/>
          <w:sz w:val="24"/>
          <w:szCs w:val="24"/>
          <w:rtl/>
        </w:rPr>
      </w:pPr>
      <w:proofErr w:type="spellStart"/>
      <w:r w:rsidRPr="00DD31AE">
        <w:rPr>
          <w:rFonts w:ascii="Arial" w:hAnsi="Arial" w:cs="Arial"/>
          <w:sz w:val="24"/>
          <w:szCs w:val="24"/>
          <w:rtl/>
        </w:rPr>
        <w:t>צלמונה</w:t>
      </w:r>
      <w:proofErr w:type="spellEnd"/>
      <w:r w:rsidRPr="00DD31AE">
        <w:rPr>
          <w:rFonts w:ascii="Arial" w:hAnsi="Arial" w:cs="Arial"/>
          <w:sz w:val="24"/>
          <w:szCs w:val="24"/>
          <w:rtl/>
        </w:rPr>
        <w:t>, י', "דימויים של תיקון הגוף היהודי",  שבר ותיקון בהגות, באמנות, בחברה, קרן עדי 2009</w:t>
      </w:r>
    </w:p>
    <w:p w:rsidR="00DD31AE" w:rsidRPr="00DD31AE" w:rsidRDefault="00DD31AE" w:rsidP="00DD31AE">
      <w:pPr>
        <w:rPr>
          <w:rFonts w:ascii="Arial" w:hAnsi="Arial" w:cs="Arial"/>
          <w:sz w:val="24"/>
          <w:szCs w:val="24"/>
          <w:rtl/>
        </w:rPr>
      </w:pPr>
      <w:proofErr w:type="spellStart"/>
      <w:r w:rsidRPr="00DD31AE">
        <w:rPr>
          <w:rFonts w:ascii="Arial" w:hAnsi="Arial" w:cs="Arial"/>
          <w:sz w:val="24"/>
          <w:szCs w:val="24"/>
          <w:rtl/>
        </w:rPr>
        <w:t>צלמונה</w:t>
      </w:r>
      <w:proofErr w:type="spellEnd"/>
      <w:r w:rsidRPr="00DD31AE">
        <w:rPr>
          <w:rFonts w:ascii="Arial" w:hAnsi="Arial" w:cs="Arial"/>
          <w:sz w:val="24"/>
          <w:szCs w:val="24"/>
          <w:rtl/>
        </w:rPr>
        <w:t>, י', 100 שנות אמנות ישראלית, מוזיאון ישראל, ירושלים, 2010</w:t>
      </w:r>
    </w:p>
    <w:p w:rsidR="00DD31AE" w:rsidRPr="00DD31AE" w:rsidRDefault="00DD31AE" w:rsidP="00DD31AE">
      <w:pPr>
        <w:rPr>
          <w:rFonts w:ascii="Arial" w:hAnsi="Arial" w:cs="Arial"/>
          <w:sz w:val="24"/>
          <w:szCs w:val="24"/>
          <w:rtl/>
        </w:rPr>
      </w:pPr>
      <w:r w:rsidRPr="00DD31AE">
        <w:rPr>
          <w:rFonts w:ascii="Arial" w:hAnsi="Arial" w:cs="Arial"/>
          <w:sz w:val="24"/>
          <w:szCs w:val="24"/>
          <w:rtl/>
        </w:rPr>
        <w:t xml:space="preserve">שילה-כהן, נ', (עורכת), בצלאל של </w:t>
      </w:r>
      <w:proofErr w:type="spellStart"/>
      <w:r w:rsidRPr="00DD31AE">
        <w:rPr>
          <w:rFonts w:ascii="Arial" w:hAnsi="Arial" w:cs="Arial"/>
          <w:sz w:val="24"/>
          <w:szCs w:val="24"/>
          <w:rtl/>
        </w:rPr>
        <w:t>שץ</w:t>
      </w:r>
      <w:proofErr w:type="spellEnd"/>
      <w:r w:rsidRPr="00DD31AE">
        <w:rPr>
          <w:rFonts w:ascii="Arial" w:hAnsi="Arial" w:cs="Arial"/>
          <w:sz w:val="24"/>
          <w:szCs w:val="24"/>
          <w:rtl/>
        </w:rPr>
        <w:t>, 1906-1929, מוזיאון ישראל, ירושלים, 1983</w:t>
      </w:r>
    </w:p>
    <w:p w:rsidR="00DD31AE" w:rsidRPr="00DD31AE" w:rsidRDefault="00DD31AE" w:rsidP="00DD31AE">
      <w:pPr>
        <w:rPr>
          <w:rFonts w:ascii="Arial" w:hAnsi="Arial" w:cs="Arial"/>
          <w:sz w:val="24"/>
          <w:szCs w:val="24"/>
          <w:rtl/>
        </w:rPr>
      </w:pPr>
      <w:r w:rsidRPr="00DD31AE">
        <w:rPr>
          <w:rFonts w:ascii="Arial" w:hAnsi="Arial" w:cs="Arial"/>
          <w:sz w:val="24"/>
          <w:szCs w:val="24"/>
          <w:rtl/>
        </w:rPr>
        <w:t>שפס, מ' (עורך), ארדון: רטרוספקטיבה, קטלוג תערוכה, מוזיאון תל אביב לאמנות, 1985</w:t>
      </w:r>
    </w:p>
    <w:p w:rsidR="00DD31AE" w:rsidRPr="00DD31AE" w:rsidRDefault="00DD31AE" w:rsidP="00DD31AE">
      <w:pPr>
        <w:rPr>
          <w:rFonts w:ascii="Arial" w:hAnsi="Arial" w:cs="Arial"/>
          <w:sz w:val="24"/>
          <w:szCs w:val="24"/>
          <w:rtl/>
        </w:rPr>
      </w:pPr>
    </w:p>
    <w:p w:rsidR="00DD31AE" w:rsidRPr="00DD31AE" w:rsidRDefault="00DD31AE" w:rsidP="00DD31AE">
      <w:pPr>
        <w:bidi w:val="0"/>
        <w:rPr>
          <w:rFonts w:ascii="Arial" w:hAnsi="Arial" w:cs="Arial"/>
          <w:sz w:val="24"/>
          <w:szCs w:val="24"/>
          <w:rtl/>
        </w:rPr>
      </w:pPr>
      <w:r w:rsidRPr="00DD31AE">
        <w:rPr>
          <w:rFonts w:ascii="Arial" w:hAnsi="Arial" w:cs="Arial"/>
          <w:sz w:val="24"/>
          <w:szCs w:val="24"/>
        </w:rPr>
        <w:t xml:space="preserve">Manor' D', Art in Zion: The Genesis of Modern National Art in Jewish Palestine, </w:t>
      </w:r>
      <w:proofErr w:type="spellStart"/>
      <w:r w:rsidRPr="00DD31AE">
        <w:rPr>
          <w:rFonts w:ascii="Arial" w:hAnsi="Arial" w:cs="Arial"/>
          <w:sz w:val="24"/>
          <w:szCs w:val="24"/>
        </w:rPr>
        <w:t>Routledge</w:t>
      </w:r>
      <w:proofErr w:type="spellEnd"/>
      <w:r w:rsidRPr="00DD31AE">
        <w:rPr>
          <w:rFonts w:ascii="Arial" w:hAnsi="Arial" w:cs="Arial"/>
          <w:sz w:val="24"/>
          <w:szCs w:val="24"/>
        </w:rPr>
        <w:t>, 2005</w:t>
      </w:r>
    </w:p>
    <w:p w:rsidR="00DD31AE" w:rsidRPr="00DD31AE" w:rsidRDefault="00DD31AE" w:rsidP="00DD31AE">
      <w:pPr>
        <w:bidi w:val="0"/>
        <w:rPr>
          <w:rFonts w:ascii="Arial" w:hAnsi="Arial" w:cs="Arial"/>
          <w:sz w:val="24"/>
          <w:szCs w:val="24"/>
        </w:rPr>
      </w:pPr>
      <w:proofErr w:type="spellStart"/>
      <w:r w:rsidRPr="00DD31AE">
        <w:rPr>
          <w:rFonts w:ascii="Arial" w:hAnsi="Arial" w:cs="Arial"/>
          <w:sz w:val="24"/>
          <w:szCs w:val="24"/>
        </w:rPr>
        <w:t>Zalmona</w:t>
      </w:r>
      <w:proofErr w:type="spellEnd"/>
      <w:r w:rsidRPr="00DD31AE">
        <w:rPr>
          <w:rFonts w:ascii="Arial" w:hAnsi="Arial" w:cs="Arial"/>
          <w:sz w:val="24"/>
          <w:szCs w:val="24"/>
        </w:rPr>
        <w:t xml:space="preserve">, Y', A Century of Israeli Art, </w:t>
      </w:r>
      <w:proofErr w:type="spellStart"/>
      <w:r w:rsidRPr="00DD31AE">
        <w:rPr>
          <w:rFonts w:ascii="Arial" w:hAnsi="Arial" w:cs="Arial"/>
          <w:sz w:val="24"/>
          <w:szCs w:val="24"/>
        </w:rPr>
        <w:t>Lunds</w:t>
      </w:r>
      <w:proofErr w:type="spellEnd"/>
      <w:r w:rsidRPr="00DD31AE">
        <w:rPr>
          <w:rFonts w:ascii="Arial" w:hAnsi="Arial" w:cs="Arial"/>
          <w:sz w:val="24"/>
          <w:szCs w:val="24"/>
        </w:rPr>
        <w:t xml:space="preserve"> Humphries, London, 2013</w:t>
      </w:r>
    </w:p>
    <w:p w:rsidR="00DD31AE" w:rsidRPr="00DD31AE" w:rsidRDefault="00DD31AE">
      <w:pPr>
        <w:rPr>
          <w:rFonts w:ascii="Arial" w:hAnsi="Arial" w:cs="Arial"/>
          <w:sz w:val="24"/>
          <w:szCs w:val="24"/>
        </w:rPr>
      </w:pPr>
    </w:p>
    <w:sectPr w:rsidR="00DD31AE" w:rsidRPr="00DD31AE" w:rsidSect="00D003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01FE"/>
    <w:multiLevelType w:val="hybridMultilevel"/>
    <w:tmpl w:val="2C8A23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8BB"/>
    <w:rsid w:val="00193A8E"/>
    <w:rsid w:val="00A618BB"/>
    <w:rsid w:val="00D003E3"/>
    <w:rsid w:val="00DD31AE"/>
    <w:rsid w:val="00FF18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B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8B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61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36239">
      <w:bodyDiv w:val="1"/>
      <w:marLeft w:val="0"/>
      <w:marRight w:val="0"/>
      <w:marTop w:val="0"/>
      <w:marBottom w:val="0"/>
      <w:divBdr>
        <w:top w:val="none" w:sz="0" w:space="0" w:color="auto"/>
        <w:left w:val="none" w:sz="0" w:space="0" w:color="auto"/>
        <w:bottom w:val="none" w:sz="0" w:space="0" w:color="auto"/>
        <w:right w:val="none" w:sz="0" w:space="0" w:color="auto"/>
      </w:divBdr>
    </w:div>
    <w:div w:id="6006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3253</Characters>
  <Application>Microsoft Office Word</Application>
  <DocSecurity>0</DocSecurity>
  <Lines>27</Lines>
  <Paragraphs>7</Paragraphs>
  <ScaleCrop>false</ScaleCrop>
  <Company>bezalel</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iritb</dc:creator>
  <cp:keywords/>
  <dc:description/>
  <cp:lastModifiedBy>iritb</cp:lastModifiedBy>
  <cp:revision>2</cp:revision>
  <dcterms:created xsi:type="dcterms:W3CDTF">2013-08-12T09:15:00Z</dcterms:created>
  <dcterms:modified xsi:type="dcterms:W3CDTF">2013-08-12T12:58:00Z</dcterms:modified>
</cp:coreProperties>
</file>