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8B" w:rsidRDefault="0053188B" w:rsidP="0053188B">
      <w:pPr>
        <w:spacing w:after="0" w:line="360" w:lineRule="auto"/>
        <w:contextualSpacing/>
        <w:jc w:val="both"/>
        <w:rPr>
          <w:rFonts w:ascii="Arial" w:eastAsia="Times New Roman" w:hAnsi="Arial"/>
          <w:b/>
          <w:bCs/>
          <w:rtl/>
        </w:rPr>
      </w:pPr>
      <w:bookmarkStart w:id="0" w:name="_GoBack"/>
      <w:bookmarkEnd w:id="0"/>
    </w:p>
    <w:p w:rsidR="00B20C42" w:rsidRPr="003C13FD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b/>
          <w:bCs/>
          <w:rtl/>
        </w:rPr>
      </w:pPr>
      <w:r w:rsidRPr="003C13FD">
        <w:rPr>
          <w:rFonts w:ascii="Arial" w:eastAsia="Times New Roman" w:hAnsi="Arial" w:hint="cs"/>
          <w:b/>
          <w:bCs/>
          <w:rtl/>
        </w:rPr>
        <w:t>סוגיות בתרבות הישראלית</w:t>
      </w:r>
    </w:p>
    <w:p w:rsidR="00B20C42" w:rsidRPr="003C13FD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b/>
          <w:bCs/>
          <w:rtl/>
        </w:rPr>
      </w:pPr>
      <w:r w:rsidRPr="003C13FD">
        <w:rPr>
          <w:rFonts w:ascii="Arial" w:eastAsia="Times New Roman" w:hAnsi="Arial" w:hint="cs"/>
          <w:b/>
          <w:bCs/>
          <w:rtl/>
        </w:rPr>
        <w:t>ד"ר תמר ברגר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דיון במאפייניה של התרבות היש</w:t>
      </w:r>
      <w:r w:rsidR="0053188B">
        <w:rPr>
          <w:rFonts w:ascii="Arial" w:eastAsia="Times New Roman" w:hAnsi="Arial" w:hint="cs"/>
          <w:rtl/>
        </w:rPr>
        <w:t>ר</w:t>
      </w:r>
      <w:r>
        <w:rPr>
          <w:rFonts w:ascii="Arial" w:eastAsia="Times New Roman" w:hAnsi="Arial" w:hint="cs"/>
          <w:rtl/>
        </w:rPr>
        <w:t>אלית בת זמננו ובמקורותיה מנקודת מבט בין-תחומית. התרבות הישראלית תיבחן על פי  ארבע צירים, שיש ביניהם זיקות הדדיות ענפות: כתרבות מומצאת, כתרבות כלאיים, כתרבות מופרטת וכתרבות עולמקומית. הדיון ייעשה בעזרת טקסטים תאורטיים וייצוגים ויזואליים וטקסטואליים.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 w:rsidRPr="00771317">
        <w:rPr>
          <w:rFonts w:ascii="Arial" w:eastAsia="Times New Roman" w:hAnsi="Arial" w:hint="cs"/>
          <w:b/>
          <w:bCs/>
          <w:rtl/>
        </w:rPr>
        <w:t>מבנה כללי של השיעורים</w:t>
      </w:r>
      <w:r>
        <w:rPr>
          <w:rFonts w:ascii="Arial" w:eastAsia="Times New Roman" w:hAnsi="Arial" w:hint="cs"/>
          <w:rtl/>
        </w:rPr>
        <w:t xml:space="preserve"> 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סמסטר א':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- הצגה תאורטית של הסוגיה (או תת-הסוגיה).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- בחינתה בעזרת ייצוג/ים ודימוי/ים.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- דיון.  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סמסטר ב': דיון ברפרטים של התלמידות/ים.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 w:rsidRPr="00EA60A8">
        <w:rPr>
          <w:rFonts w:ascii="Arial" w:eastAsia="Times New Roman" w:hAnsi="Arial" w:hint="cs"/>
          <w:b/>
          <w:bCs/>
          <w:rtl/>
        </w:rPr>
        <w:t>חובות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נוכחות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השתתפות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קריאת חומרי החובה 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הגשת רפרט במהלך סמסטר ב'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הגשת עבודה פרו-סמינריונית </w:t>
      </w:r>
      <w:r w:rsidR="0053188B">
        <w:rPr>
          <w:rFonts w:ascii="Arial" w:eastAsia="Times New Roman" w:hAnsi="Arial" w:hint="cs"/>
          <w:rtl/>
        </w:rPr>
        <w:t>בתום הקורס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</w:p>
    <w:p w:rsidR="00B20C42" w:rsidRPr="00EA60A8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b/>
          <w:bCs/>
          <w:rtl/>
        </w:rPr>
      </w:pPr>
      <w:r w:rsidRPr="00EA60A8">
        <w:rPr>
          <w:rFonts w:ascii="Arial" w:eastAsia="Times New Roman" w:hAnsi="Arial" w:hint="cs"/>
          <w:b/>
          <w:bCs/>
          <w:rtl/>
        </w:rPr>
        <w:t>תכנית הקורס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1.     מבוא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2-3.  </w:t>
      </w:r>
      <w:r w:rsidRPr="00EA60A8">
        <w:rPr>
          <w:rFonts w:ascii="Arial" w:eastAsia="Times New Roman" w:hAnsi="Arial" w:hint="cs"/>
          <w:u w:val="single"/>
          <w:rtl/>
        </w:rPr>
        <w:t>תרבות מומצאת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טקסט: אמנון רז-קרקוצקי, "גלות מתוך ריבונות", </w:t>
      </w:r>
      <w:r>
        <w:rPr>
          <w:rFonts w:ascii="Arial" w:eastAsia="Times New Roman" w:hAnsi="Arial" w:hint="cs"/>
          <w:i/>
          <w:iCs/>
          <w:rtl/>
        </w:rPr>
        <w:t>תיאוריה וביקורת</w:t>
      </w:r>
      <w:r>
        <w:rPr>
          <w:rFonts w:ascii="Arial" w:eastAsia="Times New Roman" w:hAnsi="Arial" w:hint="cs"/>
          <w:rtl/>
        </w:rPr>
        <w:t xml:space="preserve"> 4, 1993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4-10. </w:t>
      </w:r>
      <w:r w:rsidRPr="00771317">
        <w:rPr>
          <w:rFonts w:ascii="Arial" w:eastAsia="Times New Roman" w:hAnsi="Arial" w:hint="cs"/>
          <w:u w:val="single"/>
          <w:rtl/>
        </w:rPr>
        <w:t>תרבות כלאיים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א. מזרחית/מערבית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טקסט: אלה שוחט, "הציונות מנקודת-מבטם של קרבנותיה היהודים" בתוך </w:t>
      </w:r>
      <w:r w:rsidRPr="005575DF">
        <w:rPr>
          <w:rFonts w:ascii="Arial" w:eastAsia="Times New Roman" w:hAnsi="Arial" w:hint="cs"/>
          <w:i/>
          <w:iCs/>
          <w:rtl/>
        </w:rPr>
        <w:t>זכרונות אסורים</w:t>
      </w:r>
      <w:r>
        <w:rPr>
          <w:rFonts w:ascii="Arial" w:eastAsia="Times New Roman" w:hAnsi="Arial" w:hint="cs"/>
          <w:rtl/>
        </w:rPr>
        <w:t xml:space="preserve">, 2001 [קטעים מתוכו]; צבי בן דור, "עיב, חשומה, אנפגרת קונבולה" בתוך </w:t>
      </w:r>
      <w:r w:rsidRPr="000D3122">
        <w:rPr>
          <w:rFonts w:ascii="Arial" w:eastAsia="Times New Roman" w:hAnsi="Arial" w:hint="cs"/>
          <w:i/>
          <w:iCs/>
          <w:rtl/>
        </w:rPr>
        <w:t>חזות מזרחית, הווה הנע בסבך עברו הערבי</w:t>
      </w:r>
      <w:r>
        <w:rPr>
          <w:rFonts w:ascii="Arial" w:eastAsia="Times New Roman" w:hAnsi="Arial" w:hint="cs"/>
          <w:rtl/>
        </w:rPr>
        <w:t>, 2004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ב. יהודית/ערבית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טקסט: </w:t>
      </w:r>
      <w:r w:rsidR="0053188B">
        <w:rPr>
          <w:rFonts w:ascii="Arial" w:eastAsia="Times New Roman" w:hAnsi="Arial" w:hint="cs"/>
          <w:rtl/>
        </w:rPr>
        <w:t>ע</w:t>
      </w:r>
      <w:r>
        <w:rPr>
          <w:rFonts w:ascii="Arial" w:eastAsia="Times New Roman" w:hAnsi="Arial" w:hint="cs"/>
          <w:rtl/>
        </w:rPr>
        <w:t>ז</w:t>
      </w:r>
      <w:r w:rsidR="0053188B">
        <w:rPr>
          <w:rFonts w:ascii="Arial" w:eastAsia="Times New Roman" w:hAnsi="Arial" w:hint="cs"/>
          <w:rtl/>
        </w:rPr>
        <w:t>מ</w:t>
      </w:r>
      <w:r>
        <w:rPr>
          <w:rFonts w:ascii="Arial" w:eastAsia="Times New Roman" w:hAnsi="Arial" w:hint="cs"/>
          <w:rtl/>
        </w:rPr>
        <w:t xml:space="preserve">י בשארה, "על שאלת המיעוט הפלסטיני בישראל", </w:t>
      </w:r>
      <w:r w:rsidRPr="00F903FE">
        <w:rPr>
          <w:rFonts w:ascii="Arial" w:eastAsia="Times New Roman" w:hAnsi="Arial" w:hint="cs"/>
          <w:i/>
          <w:iCs/>
          <w:rtl/>
        </w:rPr>
        <w:t>תיאוריה וביקורת</w:t>
      </w:r>
      <w:r>
        <w:rPr>
          <w:rFonts w:ascii="Arial" w:eastAsia="Times New Roman" w:hAnsi="Arial" w:hint="cs"/>
          <w:rtl/>
        </w:rPr>
        <w:t xml:space="preserve"> 3, 1993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ג. אזרחית/בטחונית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lastRenderedPageBreak/>
        <w:t xml:space="preserve">טקסט: אורן ברק וגבריאל שפר, "'הרשת הבטחונית' בישראל והשפעתה: גישה תיאורטית ואנליטית חדשה" בתוך </w:t>
      </w:r>
      <w:r w:rsidRPr="00F903FE">
        <w:rPr>
          <w:rFonts w:ascii="Arial" w:eastAsia="Times New Roman" w:hAnsi="Arial" w:hint="cs"/>
          <w:i/>
          <w:iCs/>
          <w:rtl/>
        </w:rPr>
        <w:t>צבא שיש לו מדינה? מבט מחודש על יחסי התחום הביטחוני והאזרחי בישראל</w:t>
      </w:r>
      <w:r>
        <w:rPr>
          <w:rFonts w:ascii="Arial" w:eastAsia="Times New Roman" w:hAnsi="Arial" w:hint="cs"/>
          <w:rtl/>
        </w:rPr>
        <w:t xml:space="preserve"> (עורכים: גבריאל שפר, אורן ברק, עמירם אורן), 2008 </w:t>
      </w:r>
      <w:r w:rsidR="0053188B">
        <w:rPr>
          <w:rFonts w:ascii="Arial" w:eastAsia="Times New Roman" w:hAnsi="Arial" w:hint="cs"/>
          <w:rtl/>
        </w:rPr>
        <w:t>[קטעים מתוכו]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ד. עירונית/פריפריאלית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טקסט: אמיר בן פורת ויואב ויכסלפיש, "מרכז, פריפריה, כדורגל </w:t>
      </w:r>
      <w:r>
        <w:rPr>
          <w:rFonts w:ascii="Arial" w:eastAsia="Times New Roman" w:hAnsi="Arial"/>
          <w:rtl/>
        </w:rPr>
        <w:t>–</w:t>
      </w:r>
      <w:r>
        <w:rPr>
          <w:rFonts w:ascii="Arial" w:eastAsia="Times New Roman" w:hAnsi="Arial" w:hint="cs"/>
          <w:rtl/>
        </w:rPr>
        <w:t xml:space="preserve"> עד כמה רחוקה תל אביב מאופקים? בתוך </w:t>
      </w:r>
      <w:r w:rsidRPr="005575DF">
        <w:rPr>
          <w:rFonts w:ascii="Arial" w:eastAsia="Times New Roman" w:hAnsi="Arial" w:hint="cs"/>
          <w:i/>
          <w:iCs/>
          <w:rtl/>
        </w:rPr>
        <w:t>בין שדרות לשדרות רוטשיל</w:t>
      </w:r>
      <w:r>
        <w:rPr>
          <w:rFonts w:ascii="Arial" w:eastAsia="Times New Roman" w:hAnsi="Arial" w:hint="cs"/>
          <w:i/>
          <w:iCs/>
          <w:rtl/>
        </w:rPr>
        <w:t>ד, יחסי מרכז-פריפריה בתרבות הישראלית</w:t>
      </w:r>
      <w:r>
        <w:rPr>
          <w:rFonts w:ascii="Arial" w:eastAsia="Times New Roman" w:hAnsi="Arial" w:hint="cs"/>
          <w:rtl/>
        </w:rPr>
        <w:t xml:space="preserve"> (עורכים: עודד היילברונר ומיכאל לוין), 2007. 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ה. נשית/גברית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טקסט: עמליה זיו, "'לחצות את גבולות המגדר, לבגוד בגבולו</w:t>
      </w:r>
      <w:r w:rsidR="0053188B">
        <w:rPr>
          <w:rFonts w:ascii="Arial" w:eastAsia="Times New Roman" w:hAnsi="Arial" w:hint="cs"/>
          <w:rtl/>
        </w:rPr>
        <w:t>ת</w:t>
      </w:r>
      <w:r>
        <w:rPr>
          <w:rFonts w:ascii="Arial" w:eastAsia="Times New Roman" w:hAnsi="Arial" w:hint="cs"/>
          <w:rtl/>
        </w:rPr>
        <w:t xml:space="preserve"> הלאום': הפוליטיקה הפרפורמטיבית של 'כביסה שחורה'", בתוך </w:t>
      </w:r>
      <w:r w:rsidRPr="007B044D">
        <w:rPr>
          <w:rFonts w:ascii="Arial" w:eastAsia="Times New Roman" w:hAnsi="Arial" w:hint="cs"/>
          <w:i/>
          <w:iCs/>
          <w:rtl/>
        </w:rPr>
        <w:t>פערי אזרחות, הגירה, פריון וזהות בישראל</w:t>
      </w:r>
      <w:r>
        <w:rPr>
          <w:rFonts w:ascii="Arial" w:eastAsia="Times New Roman" w:hAnsi="Arial" w:hint="cs"/>
          <w:rtl/>
        </w:rPr>
        <w:t xml:space="preserve"> (עורכים: יוסי יונה, אדריאנה קמפ), 2008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 w:rsidRPr="00771317">
        <w:rPr>
          <w:rFonts w:ascii="Arial" w:eastAsia="Times New Roman" w:hAnsi="Arial" w:hint="cs"/>
          <w:rtl/>
        </w:rPr>
        <w:t xml:space="preserve">11-12. </w:t>
      </w:r>
      <w:r w:rsidRPr="00771317">
        <w:rPr>
          <w:rFonts w:ascii="Arial" w:eastAsia="Times New Roman" w:hAnsi="Arial" w:hint="cs"/>
          <w:u w:val="single"/>
          <w:rtl/>
        </w:rPr>
        <w:t>תרבות מופרטת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טקסט: גדי אלגזי, "מטריקס בבילעין", </w:t>
      </w:r>
      <w:r>
        <w:rPr>
          <w:rFonts w:ascii="Arial" w:eastAsia="Times New Roman" w:hAnsi="Arial" w:hint="cs"/>
          <w:i/>
          <w:iCs/>
          <w:rtl/>
        </w:rPr>
        <w:t xml:space="preserve">תאוריה וביקורת </w:t>
      </w:r>
      <w:r>
        <w:rPr>
          <w:rFonts w:ascii="Arial" w:eastAsia="Times New Roman" w:hAnsi="Arial" w:hint="cs"/>
          <w:rtl/>
        </w:rPr>
        <w:t xml:space="preserve">29, 2006 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13. </w:t>
      </w:r>
      <w:r w:rsidRPr="00771317">
        <w:rPr>
          <w:rFonts w:ascii="Arial" w:eastAsia="Times New Roman" w:hAnsi="Arial" w:hint="cs"/>
          <w:u w:val="single"/>
          <w:rtl/>
        </w:rPr>
        <w:t>תרבות עולמקומית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טקסט: אורי רם, </w:t>
      </w:r>
      <w:r w:rsidRPr="00F903FE">
        <w:rPr>
          <w:rFonts w:ascii="Arial" w:eastAsia="Times New Roman" w:hAnsi="Arial" w:hint="cs"/>
          <w:i/>
          <w:iCs/>
          <w:rtl/>
        </w:rPr>
        <w:t>הגלובליזציה של ישראל, מק'וורלד בתל-אביב, ג'יהאד בירושלים</w:t>
      </w:r>
      <w:r>
        <w:rPr>
          <w:rFonts w:ascii="Arial" w:eastAsia="Times New Roman" w:hAnsi="Arial" w:hint="cs"/>
          <w:rtl/>
        </w:rPr>
        <w:t xml:space="preserve">, 2005 [קטעים מתוכו].  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14. סיכום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="Arial" w:eastAsia="Times New Roman" w:hAnsi="Arial"/>
          <w:rtl/>
        </w:rPr>
      </w:pPr>
    </w:p>
    <w:p w:rsidR="00550F34" w:rsidRPr="00B20C42" w:rsidRDefault="0026441E" w:rsidP="0053188B">
      <w:pPr>
        <w:spacing w:line="360" w:lineRule="auto"/>
        <w:contextualSpacing/>
        <w:jc w:val="both"/>
        <w:rPr>
          <w:lang w:val="en-GB"/>
        </w:rPr>
      </w:pPr>
    </w:p>
    <w:sectPr w:rsidR="00550F34" w:rsidRPr="00B20C42" w:rsidSect="00501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0C42"/>
    <w:rsid w:val="0021507A"/>
    <w:rsid w:val="0026441E"/>
    <w:rsid w:val="00501AE7"/>
    <w:rsid w:val="0053188B"/>
    <w:rsid w:val="00B20C42"/>
    <w:rsid w:val="00F0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2"/>
    <w:pPr>
      <w:bidi/>
      <w:spacing w:line="240" w:lineRule="auto"/>
    </w:pPr>
    <w:rPr>
      <w:rFonts w:cs="Davi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42"/>
    <w:pPr>
      <w:bidi/>
      <w:spacing w:line="240" w:lineRule="auto"/>
    </w:pPr>
    <w:rPr>
      <w:rFonts w:cs="Davi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berger</dc:creator>
  <cp:lastModifiedBy>iritb</cp:lastModifiedBy>
  <cp:revision>2</cp:revision>
  <dcterms:created xsi:type="dcterms:W3CDTF">2013-08-14T11:27:00Z</dcterms:created>
  <dcterms:modified xsi:type="dcterms:W3CDTF">2013-08-14T11:27:00Z</dcterms:modified>
</cp:coreProperties>
</file>