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C3" w:rsidRPr="006E7CD3" w:rsidRDefault="006E7CD3" w:rsidP="007A6166">
      <w:pPr>
        <w:pStyle w:val="a4"/>
        <w:spacing w:line="360" w:lineRule="auto"/>
        <w:jc w:val="center"/>
        <w:rPr>
          <w:b/>
          <w:bCs/>
          <w:sz w:val="24"/>
          <w:szCs w:val="24"/>
          <w:rtl/>
        </w:rPr>
      </w:pPr>
      <w:r w:rsidRPr="006E7CD3">
        <w:rPr>
          <w:rFonts w:hint="cs"/>
          <w:b/>
          <w:bCs/>
          <w:sz w:val="24"/>
          <w:szCs w:val="24"/>
          <w:rtl/>
        </w:rPr>
        <w:t xml:space="preserve">כשעיצוב וארכיאולוגיה נפגשים: </w:t>
      </w:r>
      <w:r w:rsidR="00D224C3">
        <w:rPr>
          <w:rFonts w:hint="cs"/>
          <w:b/>
          <w:bCs/>
          <w:sz w:val="24"/>
          <w:szCs w:val="24"/>
          <w:rtl/>
        </w:rPr>
        <w:t>על חומרים חפצים ואנשים</w:t>
      </w:r>
    </w:p>
    <w:p w:rsidR="006E7CD3" w:rsidRDefault="006E7CD3" w:rsidP="006E7CD3">
      <w:pPr>
        <w:pStyle w:val="a4"/>
        <w:spacing w:line="360" w:lineRule="auto"/>
        <w:jc w:val="center"/>
        <w:rPr>
          <w:rtl/>
        </w:rPr>
      </w:pPr>
    </w:p>
    <w:p w:rsidR="009F0F61" w:rsidRPr="006E7CD3" w:rsidRDefault="00E4736A" w:rsidP="00E4736A">
      <w:pPr>
        <w:pStyle w:val="a4"/>
        <w:spacing w:line="360" w:lineRule="auto"/>
        <w:jc w:val="center"/>
        <w:rPr>
          <w:b/>
          <w:bCs/>
          <w:rtl/>
        </w:rPr>
      </w:pPr>
      <w:r w:rsidRPr="006E7CD3">
        <w:rPr>
          <w:rFonts w:hint="cs"/>
          <w:b/>
          <w:bCs/>
          <w:rtl/>
        </w:rPr>
        <w:t xml:space="preserve">ד"ר יונתן ונטורה </w:t>
      </w:r>
      <w:r w:rsidR="000B203B" w:rsidRPr="006E7CD3">
        <w:rPr>
          <w:rFonts w:hint="cs"/>
          <w:b/>
          <w:bCs/>
          <w:rtl/>
        </w:rPr>
        <w:t xml:space="preserve">ד"ר רוני עמיר </w:t>
      </w:r>
    </w:p>
    <w:p w:rsidR="006E7CD3" w:rsidRDefault="006E7CD3" w:rsidP="006E7CD3">
      <w:pPr>
        <w:pStyle w:val="a4"/>
        <w:spacing w:line="360" w:lineRule="auto"/>
        <w:jc w:val="both"/>
        <w:rPr>
          <w:rtl/>
        </w:rPr>
      </w:pPr>
    </w:p>
    <w:p w:rsidR="006E7CD3" w:rsidRPr="006E7CD3" w:rsidRDefault="006E7CD3" w:rsidP="006E7CD3">
      <w:pPr>
        <w:pStyle w:val="a4"/>
        <w:spacing w:line="360" w:lineRule="auto"/>
        <w:jc w:val="both"/>
        <w:rPr>
          <w:i/>
          <w:iCs/>
          <w:rtl/>
        </w:rPr>
      </w:pPr>
      <w:r w:rsidRPr="006E7CD3">
        <w:rPr>
          <w:rFonts w:hint="cs"/>
          <w:i/>
          <w:iCs/>
          <w:rtl/>
        </w:rPr>
        <w:t>כיצד נראה סיר בישול בעת העתיקה?</w:t>
      </w:r>
      <w:r w:rsidR="000B4967" w:rsidRPr="006E7CD3">
        <w:rPr>
          <w:rFonts w:hint="cs"/>
          <w:i/>
          <w:iCs/>
          <w:rtl/>
        </w:rPr>
        <w:t xml:space="preserve"> מדוע ומתי </w:t>
      </w:r>
      <w:r w:rsidRPr="006E7CD3">
        <w:rPr>
          <w:rFonts w:hint="cs"/>
          <w:i/>
          <w:iCs/>
          <w:rtl/>
        </w:rPr>
        <w:t>הוחלפו סירי הקרמיקה בסירי מתכת? כיצד ובמה שתו?</w:t>
      </w:r>
      <w:r w:rsidR="000B4967" w:rsidRPr="006E7CD3">
        <w:rPr>
          <w:rFonts w:hint="cs"/>
          <w:i/>
          <w:iCs/>
          <w:rtl/>
        </w:rPr>
        <w:t xml:space="preserve"> </w:t>
      </w:r>
      <w:r w:rsidR="00F477B0" w:rsidRPr="006E7CD3">
        <w:rPr>
          <w:rFonts w:hint="cs"/>
          <w:i/>
          <w:iCs/>
          <w:rtl/>
        </w:rPr>
        <w:t xml:space="preserve">מתי החלו </w:t>
      </w:r>
      <w:r w:rsidR="001F621D" w:rsidRPr="006E7CD3">
        <w:rPr>
          <w:rFonts w:hint="cs"/>
          <w:i/>
          <w:iCs/>
          <w:rtl/>
        </w:rPr>
        <w:t xml:space="preserve">בני האדם </w:t>
      </w:r>
      <w:r w:rsidR="00F477B0" w:rsidRPr="006E7CD3">
        <w:rPr>
          <w:rFonts w:hint="cs"/>
          <w:i/>
          <w:iCs/>
          <w:rtl/>
        </w:rPr>
        <w:t xml:space="preserve">לשתות בספל? האם לקנקני יין ושמן היה מכסה? </w:t>
      </w:r>
      <w:r w:rsidR="001F621D" w:rsidRPr="006E7CD3">
        <w:rPr>
          <w:rFonts w:hint="cs"/>
          <w:i/>
          <w:iCs/>
          <w:rtl/>
        </w:rPr>
        <w:t xml:space="preserve">וגם </w:t>
      </w:r>
      <w:r w:rsidR="00F477B0" w:rsidRPr="006E7CD3">
        <w:rPr>
          <w:rFonts w:hint="cs"/>
          <w:i/>
          <w:iCs/>
          <w:rtl/>
        </w:rPr>
        <w:t>כיצד נראו השירותים</w:t>
      </w:r>
      <w:r w:rsidR="001F621D" w:rsidRPr="006E7CD3">
        <w:rPr>
          <w:rFonts w:hint="cs"/>
          <w:i/>
          <w:iCs/>
          <w:rtl/>
        </w:rPr>
        <w:t xml:space="preserve"> בעת העתיקה</w:t>
      </w:r>
      <w:r w:rsidR="00F477B0" w:rsidRPr="006E7CD3">
        <w:rPr>
          <w:rFonts w:hint="cs"/>
          <w:i/>
          <w:iCs/>
          <w:rtl/>
        </w:rPr>
        <w:t>? כיצד נראה המטבח? וכ</w:t>
      </w:r>
      <w:r w:rsidRPr="006E7CD3">
        <w:rPr>
          <w:rFonts w:hint="cs"/>
          <w:i/>
          <w:iCs/>
          <w:rtl/>
        </w:rPr>
        <w:t>יצד עוצב חדר האוכל (טריקלניום)?</w:t>
      </w:r>
      <w:r w:rsidR="00F477B0" w:rsidRPr="006E7CD3">
        <w:rPr>
          <w:rFonts w:hint="cs"/>
          <w:i/>
          <w:iCs/>
          <w:rtl/>
        </w:rPr>
        <w:t xml:space="preserve"> </w:t>
      </w:r>
    </w:p>
    <w:p w:rsidR="001F621D" w:rsidRDefault="001F621D" w:rsidP="006E7CD3">
      <w:pPr>
        <w:pStyle w:val="a4"/>
        <w:spacing w:line="360" w:lineRule="auto"/>
        <w:jc w:val="both"/>
        <w:rPr>
          <w:rtl/>
        </w:rPr>
      </w:pPr>
      <w:r>
        <w:rPr>
          <w:rFonts w:hint="cs"/>
          <w:rtl/>
        </w:rPr>
        <w:t>ש</w:t>
      </w:r>
      <w:r w:rsidR="00F477B0">
        <w:rPr>
          <w:rFonts w:hint="cs"/>
          <w:rtl/>
        </w:rPr>
        <w:t xml:space="preserve">אלות אלו </w:t>
      </w:r>
      <w:r w:rsidR="006E7CD3">
        <w:rPr>
          <w:rFonts w:hint="cs"/>
          <w:rtl/>
        </w:rPr>
        <w:t xml:space="preserve">ואחרות </w:t>
      </w:r>
      <w:r w:rsidR="00F477B0">
        <w:rPr>
          <w:rFonts w:hint="cs"/>
          <w:rtl/>
        </w:rPr>
        <w:t xml:space="preserve">יעמדו במרכז הקורס </w:t>
      </w:r>
      <w:r w:rsidR="006E7CD3">
        <w:rPr>
          <w:rFonts w:hint="cs"/>
          <w:rtl/>
        </w:rPr>
        <w:t xml:space="preserve">העוסק בקשר ההיסטורי-עכשווי בין </w:t>
      </w:r>
      <w:r w:rsidR="00F477B0">
        <w:rPr>
          <w:rFonts w:hint="cs"/>
          <w:rtl/>
        </w:rPr>
        <w:t>חומרים</w:t>
      </w:r>
      <w:r w:rsidR="006E7CD3">
        <w:rPr>
          <w:rFonts w:hint="cs"/>
          <w:rtl/>
        </w:rPr>
        <w:t>,</w:t>
      </w:r>
      <w:r w:rsidR="00F477B0">
        <w:rPr>
          <w:rFonts w:hint="cs"/>
          <w:rtl/>
        </w:rPr>
        <w:t xml:space="preserve"> </w:t>
      </w:r>
      <w:r>
        <w:rPr>
          <w:rFonts w:hint="cs"/>
          <w:rtl/>
        </w:rPr>
        <w:t xml:space="preserve">חפצים </w:t>
      </w:r>
      <w:r w:rsidR="00F477B0">
        <w:rPr>
          <w:rFonts w:hint="cs"/>
          <w:rtl/>
        </w:rPr>
        <w:t xml:space="preserve">ואנשים. </w:t>
      </w:r>
    </w:p>
    <w:p w:rsidR="006E7CD3" w:rsidRDefault="00863D57" w:rsidP="0004434E">
      <w:pPr>
        <w:pStyle w:val="a4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התרבות החומרית </w:t>
      </w:r>
      <w:r w:rsidR="000C6802">
        <w:rPr>
          <w:rFonts w:hint="cs"/>
          <w:rtl/>
        </w:rPr>
        <w:t xml:space="preserve">בארץ </w:t>
      </w:r>
      <w:r w:rsidR="00132ED3">
        <w:rPr>
          <w:rFonts w:hint="cs"/>
          <w:rtl/>
        </w:rPr>
        <w:t>ב</w:t>
      </w:r>
      <w:r w:rsidR="000C6802">
        <w:rPr>
          <w:rFonts w:hint="cs"/>
          <w:rtl/>
        </w:rPr>
        <w:t>עת העתיקה</w:t>
      </w:r>
      <w:r>
        <w:rPr>
          <w:rFonts w:hint="cs"/>
          <w:rtl/>
        </w:rPr>
        <w:t xml:space="preserve"> </w:t>
      </w:r>
      <w:r w:rsidR="006324A8">
        <w:rPr>
          <w:rFonts w:hint="cs"/>
          <w:rtl/>
        </w:rPr>
        <w:t>נחפרה</w:t>
      </w:r>
      <w:r w:rsidR="009E20B6">
        <w:rPr>
          <w:rFonts w:hint="cs"/>
          <w:rtl/>
        </w:rPr>
        <w:t xml:space="preserve"> </w:t>
      </w:r>
      <w:r w:rsidR="000C6802">
        <w:rPr>
          <w:rFonts w:hint="cs"/>
          <w:rtl/>
        </w:rPr>
        <w:t xml:space="preserve">ופורסמה </w:t>
      </w:r>
      <w:r>
        <w:rPr>
          <w:rFonts w:hint="cs"/>
          <w:rtl/>
        </w:rPr>
        <w:t>על ידי ארכיאולוגים</w:t>
      </w:r>
      <w:r w:rsidR="009E20B6">
        <w:rPr>
          <w:rFonts w:hint="cs"/>
          <w:rtl/>
        </w:rPr>
        <w:t xml:space="preserve"> </w:t>
      </w:r>
      <w:r w:rsidR="007E48F8">
        <w:rPr>
          <w:rFonts w:hint="cs"/>
          <w:rtl/>
        </w:rPr>
        <w:t xml:space="preserve">אשר חשפו תרבות עשירה: </w:t>
      </w:r>
      <w:r w:rsidR="006324A8">
        <w:rPr>
          <w:rFonts w:hint="cs"/>
          <w:rtl/>
        </w:rPr>
        <w:t>כלי</w:t>
      </w:r>
      <w:r w:rsidR="008C051C">
        <w:rPr>
          <w:rFonts w:hint="cs"/>
          <w:rtl/>
        </w:rPr>
        <w:t xml:space="preserve"> </w:t>
      </w:r>
      <w:r w:rsidR="00F477B0">
        <w:rPr>
          <w:rFonts w:hint="cs"/>
          <w:rtl/>
        </w:rPr>
        <w:t xml:space="preserve">מטבח, </w:t>
      </w:r>
      <w:r w:rsidR="00392109">
        <w:rPr>
          <w:rFonts w:hint="cs"/>
          <w:rtl/>
        </w:rPr>
        <w:t>ו</w:t>
      </w:r>
      <w:r w:rsidR="00F477B0">
        <w:rPr>
          <w:rFonts w:hint="cs"/>
          <w:rtl/>
        </w:rPr>
        <w:t xml:space="preserve">כלי </w:t>
      </w:r>
      <w:r w:rsidR="006324A8">
        <w:rPr>
          <w:rFonts w:hint="cs"/>
          <w:rtl/>
        </w:rPr>
        <w:t>אחסון</w:t>
      </w:r>
      <w:r w:rsidR="00392109">
        <w:rPr>
          <w:rFonts w:hint="cs"/>
          <w:rtl/>
        </w:rPr>
        <w:t xml:space="preserve"> </w:t>
      </w:r>
      <w:r w:rsidR="00053B09">
        <w:rPr>
          <w:rFonts w:hint="cs"/>
          <w:rtl/>
        </w:rPr>
        <w:t>ה</w:t>
      </w:r>
      <w:r w:rsidR="00392109">
        <w:rPr>
          <w:rFonts w:hint="cs"/>
          <w:rtl/>
        </w:rPr>
        <w:t>עשויים קרמיקה (חומר),</w:t>
      </w:r>
      <w:r w:rsidR="000C6802">
        <w:rPr>
          <w:rFonts w:hint="cs"/>
          <w:rtl/>
        </w:rPr>
        <w:t xml:space="preserve"> מטבעות</w:t>
      </w:r>
      <w:r w:rsidR="00392109">
        <w:rPr>
          <w:rFonts w:hint="cs"/>
          <w:rtl/>
        </w:rPr>
        <w:t xml:space="preserve"> ותכשיטים העשויים מברונזה כסף וזהב</w:t>
      </w:r>
      <w:r w:rsidR="008C051C">
        <w:rPr>
          <w:rFonts w:hint="cs"/>
          <w:rtl/>
        </w:rPr>
        <w:t>, צלמיות</w:t>
      </w:r>
      <w:r w:rsidR="009E20B6">
        <w:rPr>
          <w:rFonts w:hint="cs"/>
          <w:rtl/>
        </w:rPr>
        <w:t xml:space="preserve"> משנהב עצם ועץ</w:t>
      </w:r>
      <w:r w:rsidR="00392109">
        <w:rPr>
          <w:rFonts w:hint="cs"/>
          <w:rtl/>
        </w:rPr>
        <w:t>,</w:t>
      </w:r>
      <w:r w:rsidR="008C051C">
        <w:rPr>
          <w:rFonts w:hint="cs"/>
          <w:rtl/>
        </w:rPr>
        <w:t xml:space="preserve"> </w:t>
      </w:r>
      <w:r w:rsidR="007E48F8">
        <w:rPr>
          <w:rFonts w:hint="cs"/>
          <w:rtl/>
        </w:rPr>
        <w:t xml:space="preserve">ריהוט עשוי מעץ או מתכת וכן </w:t>
      </w:r>
      <w:r w:rsidR="00392109">
        <w:rPr>
          <w:rFonts w:hint="cs"/>
          <w:rtl/>
        </w:rPr>
        <w:t>פסלים</w:t>
      </w:r>
      <w:r w:rsidR="009E20B6">
        <w:rPr>
          <w:rFonts w:hint="cs"/>
          <w:rtl/>
        </w:rPr>
        <w:t>,</w:t>
      </w:r>
      <w:r w:rsidR="00392109">
        <w:rPr>
          <w:rFonts w:hint="cs"/>
          <w:rtl/>
        </w:rPr>
        <w:t xml:space="preserve"> תבליטים</w:t>
      </w:r>
      <w:r w:rsidR="00053B0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92109">
        <w:rPr>
          <w:rFonts w:hint="cs"/>
          <w:rtl/>
        </w:rPr>
        <w:t>ו</w:t>
      </w:r>
      <w:r w:rsidR="000C6802">
        <w:rPr>
          <w:rFonts w:hint="cs"/>
          <w:rtl/>
        </w:rPr>
        <w:t xml:space="preserve">ארונות קבורה </w:t>
      </w:r>
      <w:r w:rsidR="009E20B6">
        <w:rPr>
          <w:rFonts w:hint="cs"/>
          <w:rtl/>
        </w:rPr>
        <w:t xml:space="preserve">העשויים </w:t>
      </w:r>
      <w:r w:rsidR="00053B09">
        <w:rPr>
          <w:rFonts w:hint="cs"/>
          <w:rtl/>
        </w:rPr>
        <w:t xml:space="preserve">שיש ועוד. </w:t>
      </w:r>
      <w:r w:rsidR="007E48F8">
        <w:rPr>
          <w:rFonts w:hint="cs"/>
          <w:rtl/>
        </w:rPr>
        <w:t>ו</w:t>
      </w:r>
      <w:r w:rsidR="006324A8">
        <w:rPr>
          <w:rFonts w:hint="cs"/>
          <w:rtl/>
        </w:rPr>
        <w:t>אולם</w:t>
      </w:r>
      <w:r w:rsidR="006E7CD3">
        <w:rPr>
          <w:rFonts w:hint="cs"/>
          <w:rtl/>
        </w:rPr>
        <w:t>,</w:t>
      </w:r>
      <w:r w:rsidR="006324A8">
        <w:rPr>
          <w:rFonts w:hint="cs"/>
          <w:rtl/>
        </w:rPr>
        <w:t xml:space="preserve"> </w:t>
      </w:r>
      <w:r w:rsidR="00053B09">
        <w:rPr>
          <w:rFonts w:hint="cs"/>
          <w:rtl/>
        </w:rPr>
        <w:t>המחקר הארכיאולוגי</w:t>
      </w:r>
      <w:r w:rsidR="00132ED3">
        <w:rPr>
          <w:rFonts w:hint="cs"/>
          <w:rtl/>
        </w:rPr>
        <w:t xml:space="preserve"> </w:t>
      </w:r>
      <w:r w:rsidR="00053B09">
        <w:rPr>
          <w:rFonts w:hint="cs"/>
          <w:rtl/>
        </w:rPr>
        <w:t xml:space="preserve">התמקד </w:t>
      </w:r>
      <w:r w:rsidR="00132ED3">
        <w:rPr>
          <w:rFonts w:hint="cs"/>
          <w:rtl/>
        </w:rPr>
        <w:t>ב</w:t>
      </w:r>
      <w:r w:rsidR="004C396F">
        <w:rPr>
          <w:rFonts w:hint="cs"/>
          <w:rtl/>
        </w:rPr>
        <w:t>עיקר בסיווג וב</w:t>
      </w:r>
      <w:r w:rsidR="00132ED3">
        <w:rPr>
          <w:rFonts w:hint="cs"/>
          <w:rtl/>
        </w:rPr>
        <w:t xml:space="preserve">טיפולוגיה </w:t>
      </w:r>
      <w:r w:rsidR="006324A8">
        <w:rPr>
          <w:rFonts w:hint="cs"/>
          <w:rtl/>
        </w:rPr>
        <w:t>של החפצים ו</w:t>
      </w:r>
      <w:r w:rsidR="00053B09">
        <w:rPr>
          <w:rFonts w:hint="cs"/>
          <w:rtl/>
        </w:rPr>
        <w:t xml:space="preserve">בתיארוכם על </w:t>
      </w:r>
      <w:r w:rsidR="004C396F">
        <w:rPr>
          <w:rFonts w:hint="cs"/>
          <w:rtl/>
        </w:rPr>
        <w:t xml:space="preserve">סמך </w:t>
      </w:r>
      <w:r w:rsidR="001D4E9D">
        <w:rPr>
          <w:rFonts w:hint="cs"/>
          <w:rtl/>
        </w:rPr>
        <w:t>שיטות של תיארוך</w:t>
      </w:r>
      <w:r w:rsidR="004C396F">
        <w:rPr>
          <w:rFonts w:hint="cs"/>
          <w:rtl/>
        </w:rPr>
        <w:t xml:space="preserve"> יחסי </w:t>
      </w:r>
      <w:r w:rsidR="001D4E9D">
        <w:rPr>
          <w:rFonts w:hint="cs"/>
          <w:rtl/>
        </w:rPr>
        <w:t>ותיארוך מוחלט</w:t>
      </w:r>
      <w:r w:rsidR="007E48F8">
        <w:rPr>
          <w:rFonts w:hint="cs"/>
          <w:rtl/>
        </w:rPr>
        <w:t>.</w:t>
      </w:r>
      <w:r w:rsidR="005761A5">
        <w:rPr>
          <w:rFonts w:hint="cs"/>
          <w:rtl/>
        </w:rPr>
        <w:t xml:space="preserve"> לעומת חקר העבר</w:t>
      </w:r>
      <w:r w:rsidR="006E7CD3" w:rsidRPr="005761A5">
        <w:rPr>
          <w:rFonts w:hint="cs"/>
          <w:rtl/>
        </w:rPr>
        <w:t xml:space="preserve">, חוקרי עיצוב </w:t>
      </w:r>
      <w:r w:rsidR="005761A5">
        <w:rPr>
          <w:rFonts w:hint="cs"/>
          <w:rtl/>
        </w:rPr>
        <w:t xml:space="preserve">בהווה </w:t>
      </w:r>
      <w:r w:rsidR="006E7CD3" w:rsidRPr="005761A5">
        <w:rPr>
          <w:rFonts w:hint="cs"/>
          <w:rtl/>
        </w:rPr>
        <w:t>מתמקדים בתהליכי ייצור, הבנה סמיוטית של חומרים, ארגונומיה, הנדסה ועוד.</w:t>
      </w:r>
      <w:r w:rsidR="006E7CD3">
        <w:rPr>
          <w:rFonts w:hint="cs"/>
          <w:rtl/>
        </w:rPr>
        <w:t xml:space="preserve"> </w:t>
      </w:r>
    </w:p>
    <w:p w:rsidR="00914DFD" w:rsidRDefault="006E7CD3" w:rsidP="004B7E4B">
      <w:pPr>
        <w:pStyle w:val="a4"/>
        <w:spacing w:line="360" w:lineRule="auto"/>
        <w:jc w:val="both"/>
        <w:rPr>
          <w:rtl/>
        </w:rPr>
      </w:pPr>
      <w:r>
        <w:rPr>
          <w:rFonts w:hint="cs"/>
          <w:rtl/>
        </w:rPr>
        <w:t>שעור</w:t>
      </w:r>
      <w:r w:rsidR="008B386F">
        <w:rPr>
          <w:rFonts w:hint="cs"/>
          <w:rtl/>
        </w:rPr>
        <w:t xml:space="preserve"> </w:t>
      </w:r>
      <w:r>
        <w:rPr>
          <w:rFonts w:hint="cs"/>
          <w:rtl/>
        </w:rPr>
        <w:t xml:space="preserve">ייחודי </w:t>
      </w:r>
      <w:r w:rsidR="008B386F">
        <w:rPr>
          <w:rFonts w:hint="cs"/>
          <w:rtl/>
        </w:rPr>
        <w:t xml:space="preserve">זה מבקש </w:t>
      </w:r>
      <w:r w:rsidR="000D7384">
        <w:rPr>
          <w:rFonts w:hint="cs"/>
          <w:rtl/>
        </w:rPr>
        <w:t>לב</w:t>
      </w:r>
      <w:r w:rsidR="004C396F">
        <w:rPr>
          <w:rFonts w:hint="cs"/>
          <w:rtl/>
        </w:rPr>
        <w:t xml:space="preserve">חון </w:t>
      </w:r>
      <w:r>
        <w:rPr>
          <w:rFonts w:hint="cs"/>
          <w:rtl/>
        </w:rPr>
        <w:t xml:space="preserve">חפצים יומיים </w:t>
      </w:r>
      <w:r w:rsidR="004B7E4B">
        <w:rPr>
          <w:rFonts w:hint="cs"/>
          <w:rtl/>
        </w:rPr>
        <w:t xml:space="preserve">מן העבר והווה </w:t>
      </w:r>
      <w:r>
        <w:rPr>
          <w:rFonts w:hint="cs"/>
          <w:rtl/>
        </w:rPr>
        <w:t>בהיבט</w:t>
      </w:r>
      <w:r w:rsidR="004C396F">
        <w:rPr>
          <w:rFonts w:hint="cs"/>
          <w:rtl/>
        </w:rPr>
        <w:t xml:space="preserve"> אינטר </w:t>
      </w:r>
      <w:r>
        <w:rPr>
          <w:rFonts w:hint="cs"/>
          <w:rtl/>
        </w:rPr>
        <w:t>דיסציפלינארי הכולל מישורי התייחסות מתחומי</w:t>
      </w:r>
      <w:r w:rsidR="004C396F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4C396F">
        <w:rPr>
          <w:rFonts w:hint="cs"/>
          <w:rtl/>
        </w:rPr>
        <w:t xml:space="preserve">סוציולוגיה, תרבות חומרית, </w:t>
      </w:r>
      <w:r>
        <w:rPr>
          <w:rFonts w:hint="cs"/>
          <w:rtl/>
        </w:rPr>
        <w:t xml:space="preserve">ארכיאולוגיה, </w:t>
      </w:r>
      <w:r w:rsidR="004C396F">
        <w:rPr>
          <w:rFonts w:hint="cs"/>
          <w:rtl/>
        </w:rPr>
        <w:t xml:space="preserve">סמיוטיקה, </w:t>
      </w:r>
      <w:r w:rsidR="00914DFD">
        <w:rPr>
          <w:rFonts w:hint="cs"/>
          <w:rtl/>
        </w:rPr>
        <w:t>זהות ועוד.</w:t>
      </w:r>
      <w:r w:rsidR="00D93E6C">
        <w:rPr>
          <w:rFonts w:hint="cs"/>
          <w:rtl/>
        </w:rPr>
        <w:t xml:space="preserve"> </w:t>
      </w:r>
      <w:r w:rsidR="005C0DAA">
        <w:rPr>
          <w:rFonts w:hint="cs"/>
          <w:rtl/>
        </w:rPr>
        <w:t xml:space="preserve">המחקר </w:t>
      </w:r>
      <w:r w:rsidR="004C396F">
        <w:rPr>
          <w:rFonts w:hint="cs"/>
          <w:rtl/>
        </w:rPr>
        <w:t>יתמקד בעיצובם של חפצים עתיקים ובהתפתחותם,</w:t>
      </w:r>
      <w:r w:rsidR="00914DFD">
        <w:rPr>
          <w:rFonts w:hint="cs"/>
          <w:rtl/>
        </w:rPr>
        <w:t xml:space="preserve"> תוך התבוננות</w:t>
      </w:r>
      <w:r w:rsidR="005C0DAA">
        <w:rPr>
          <w:rFonts w:hint="cs"/>
          <w:rtl/>
        </w:rPr>
        <w:t xml:space="preserve"> </w:t>
      </w:r>
      <w:r w:rsidR="00914DFD">
        <w:rPr>
          <w:rFonts w:hint="cs"/>
          <w:rtl/>
        </w:rPr>
        <w:t>ב</w:t>
      </w:r>
      <w:r w:rsidR="005C0DAA">
        <w:rPr>
          <w:rFonts w:hint="cs"/>
          <w:rtl/>
        </w:rPr>
        <w:t>שיטות ייצור ו</w:t>
      </w:r>
      <w:r w:rsidR="00914DFD">
        <w:rPr>
          <w:rFonts w:hint="cs"/>
          <w:rtl/>
        </w:rPr>
        <w:t>בטכנולוגיות עתיקות</w:t>
      </w:r>
      <w:r w:rsidR="005C0DAA">
        <w:rPr>
          <w:rFonts w:hint="cs"/>
          <w:rtl/>
        </w:rPr>
        <w:t xml:space="preserve">, </w:t>
      </w:r>
      <w:r w:rsidR="0029180C">
        <w:rPr>
          <w:rFonts w:hint="cs"/>
          <w:rtl/>
        </w:rPr>
        <w:t xml:space="preserve">בתהליכי היצור בבית המלאכה ובתהליך </w:t>
      </w:r>
      <w:r w:rsidR="00D93E6C">
        <w:rPr>
          <w:rFonts w:hint="cs"/>
          <w:rtl/>
        </w:rPr>
        <w:t>היצוא</w:t>
      </w:r>
      <w:r w:rsidR="00914DFD">
        <w:rPr>
          <w:rFonts w:hint="cs"/>
          <w:rtl/>
        </w:rPr>
        <w:t xml:space="preserve"> </w:t>
      </w:r>
      <w:r w:rsidR="0029180C">
        <w:rPr>
          <w:rFonts w:hint="cs"/>
          <w:rtl/>
        </w:rPr>
        <w:t xml:space="preserve">והשיווק </w:t>
      </w:r>
      <w:r w:rsidR="00914DFD">
        <w:rPr>
          <w:rFonts w:hint="cs"/>
          <w:rtl/>
        </w:rPr>
        <w:t xml:space="preserve">של חפצים </w:t>
      </w:r>
      <w:r w:rsidR="0029180C">
        <w:rPr>
          <w:rFonts w:hint="cs"/>
          <w:rtl/>
        </w:rPr>
        <w:t>אלו</w:t>
      </w:r>
      <w:r w:rsidR="00D93E6C">
        <w:rPr>
          <w:rFonts w:hint="cs"/>
          <w:rtl/>
        </w:rPr>
        <w:t xml:space="preserve">. כמו כן </w:t>
      </w:r>
      <w:r w:rsidR="0029180C">
        <w:rPr>
          <w:rFonts w:hint="cs"/>
          <w:rtl/>
        </w:rPr>
        <w:t>ייבחנו השפעות של הייצור ה"גלובלי" על השוק המקומי, ויחשפו חפצים "גלוקלים" בהם ניכר שילוב בין המיובא ל</w:t>
      </w:r>
      <w:r w:rsidR="00914DFD">
        <w:rPr>
          <w:rFonts w:hint="cs"/>
          <w:rtl/>
        </w:rPr>
        <w:t>מקומי.</w:t>
      </w:r>
      <w:r>
        <w:rPr>
          <w:rFonts w:hint="cs"/>
          <w:rtl/>
        </w:rPr>
        <w:t xml:space="preserve"> דרך היבט מורכב זה נוכל להבין טוב יותר גם את ההיסטוריה של החפץ, את ההיסטוריה של התרבות בה אנו חיים, ואת האופן העכשווי בו אנו מתייחסים לחפצים וחומרים. </w:t>
      </w:r>
    </w:p>
    <w:p w:rsidR="006E7CD3" w:rsidRDefault="006E7CD3" w:rsidP="006E7CD3">
      <w:pPr>
        <w:pStyle w:val="a4"/>
        <w:spacing w:line="360" w:lineRule="auto"/>
        <w:jc w:val="both"/>
        <w:rPr>
          <w:rtl/>
        </w:rPr>
      </w:pPr>
    </w:p>
    <w:p w:rsidR="00F15AB8" w:rsidRPr="00F15AB8" w:rsidRDefault="00F15AB8" w:rsidP="006E7CD3">
      <w:pPr>
        <w:pStyle w:val="a4"/>
        <w:spacing w:line="360" w:lineRule="auto"/>
        <w:jc w:val="both"/>
        <w:rPr>
          <w:rFonts w:hint="cs"/>
          <w:b/>
          <w:bCs/>
          <w:rtl/>
        </w:rPr>
      </w:pPr>
      <w:r w:rsidRPr="00F15AB8">
        <w:rPr>
          <w:rFonts w:hint="cs"/>
          <w:b/>
          <w:bCs/>
          <w:rtl/>
        </w:rPr>
        <w:t xml:space="preserve">מטרות הקורס </w:t>
      </w:r>
    </w:p>
    <w:p w:rsidR="00F15AB8" w:rsidRDefault="00F15AB8" w:rsidP="00F15AB8">
      <w:pPr>
        <w:pStyle w:val="a4"/>
        <w:numPr>
          <w:ilvl w:val="0"/>
          <w:numId w:val="9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המטרה המרכזית של הקורס להקנות לסטודנטים כלי ניתוח בעזרתם יוכלו לפרש בצורה מורכבת ואינטרדיסציפלינרית אובייקטים וחפצים מתקופות ותרבויות שונות, בעזרת כלים תיאורטיים מגוונים. </w:t>
      </w:r>
      <w:bookmarkStart w:id="0" w:name="_GoBack"/>
      <w:bookmarkEnd w:id="0"/>
    </w:p>
    <w:p w:rsidR="00F15AB8" w:rsidRDefault="00F15AB8" w:rsidP="006E7CD3">
      <w:pPr>
        <w:pStyle w:val="a4"/>
        <w:spacing w:line="360" w:lineRule="auto"/>
        <w:jc w:val="both"/>
        <w:rPr>
          <w:rtl/>
        </w:rPr>
      </w:pPr>
    </w:p>
    <w:p w:rsidR="00E4736A" w:rsidRPr="00E4736A" w:rsidRDefault="00E4736A" w:rsidP="006E7CD3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מטלות</w:t>
      </w:r>
    </w:p>
    <w:p w:rsidR="00E4736A" w:rsidRDefault="00E4736A" w:rsidP="00E4736A">
      <w:pPr>
        <w:pStyle w:val="a4"/>
        <w:numPr>
          <w:ilvl w:val="0"/>
          <w:numId w:val="7"/>
        </w:numPr>
        <w:spacing w:line="360" w:lineRule="auto"/>
        <w:jc w:val="both"/>
      </w:pPr>
      <w:r>
        <w:rPr>
          <w:rFonts w:hint="cs"/>
          <w:rtl/>
        </w:rPr>
        <w:t xml:space="preserve">נוכחות וקריאה משיעור לשיעור </w:t>
      </w:r>
    </w:p>
    <w:p w:rsidR="00E4736A" w:rsidRDefault="00E4736A" w:rsidP="00E4736A">
      <w:pPr>
        <w:pStyle w:val="a4"/>
        <w:numPr>
          <w:ilvl w:val="0"/>
          <w:numId w:val="7"/>
        </w:numPr>
        <w:spacing w:line="360" w:lineRule="auto"/>
        <w:jc w:val="both"/>
      </w:pPr>
      <w:r>
        <w:rPr>
          <w:rFonts w:hint="cs"/>
          <w:rtl/>
        </w:rPr>
        <w:t>בסיום סמסטר א הסטודנטים יגישו מצגת ובה יפרטו את נושא עבודת הפרוס (כל סטודנט יתמקד בתחומי מחלקתו)</w:t>
      </w:r>
    </w:p>
    <w:p w:rsidR="00E4736A" w:rsidRDefault="00E4736A" w:rsidP="00E4736A">
      <w:pPr>
        <w:pStyle w:val="a4"/>
        <w:numPr>
          <w:ilvl w:val="0"/>
          <w:numId w:val="7"/>
        </w:numPr>
        <w:spacing w:line="360" w:lineRule="auto"/>
        <w:jc w:val="both"/>
      </w:pPr>
      <w:r>
        <w:rPr>
          <w:rFonts w:hint="cs"/>
          <w:rtl/>
        </w:rPr>
        <w:t xml:space="preserve">בסיום סמסטר ב הסטודנטים יציגו סקיצה או מודל של חפץ העומד במרכז עבודתם התיאורטית </w:t>
      </w:r>
    </w:p>
    <w:p w:rsidR="00E4736A" w:rsidRDefault="00E4736A" w:rsidP="00E4736A">
      <w:pPr>
        <w:pStyle w:val="a4"/>
        <w:numPr>
          <w:ilvl w:val="0"/>
          <w:numId w:val="7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בתאריך שייקבע מאוחר יותר יגישו הסטודנטים עבודת פרוס-סמינריון בהיקף של 15 עמודים </w:t>
      </w:r>
    </w:p>
    <w:p w:rsidR="006E7CD3" w:rsidRDefault="006E7CD3">
      <w:pPr>
        <w:bidi w:val="0"/>
        <w:rPr>
          <w:rtl/>
        </w:rPr>
      </w:pPr>
      <w:r>
        <w:rPr>
          <w:rtl/>
        </w:rPr>
        <w:br w:type="page"/>
      </w:r>
    </w:p>
    <w:p w:rsidR="00313521" w:rsidRPr="009C3D9C" w:rsidRDefault="00313521" w:rsidP="006E7CD3">
      <w:pPr>
        <w:pStyle w:val="a4"/>
        <w:spacing w:line="360" w:lineRule="auto"/>
        <w:jc w:val="both"/>
        <w:rPr>
          <w:b/>
          <w:bCs/>
          <w:rtl/>
        </w:rPr>
      </w:pPr>
      <w:r w:rsidRPr="009C3D9C">
        <w:rPr>
          <w:rFonts w:hint="cs"/>
          <w:b/>
          <w:bCs/>
          <w:rtl/>
        </w:rPr>
        <w:lastRenderedPageBreak/>
        <w:t>רשימת השיעורים</w:t>
      </w: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1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הצגת נושא הקורס, מסגרת הקורס והשוואה בין ממצאים חומריים מקברו של תות-ענח-אמון לממצאים חומריים עכשוויים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>: אריסטו על האמנים  ()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2 + 3 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מבוא לתרבות חומרית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אריסטו על האמנים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3 + 4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סמיוטיקה, תיאוריה ופרקטיקה</w:t>
      </w:r>
      <w:r>
        <w:rPr>
          <w:rFonts w:hint="cs"/>
          <w:rtl/>
        </w:rPr>
        <w:t xml:space="preserve">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מוטי רגב, סוציולוגיה של התרבות עמודים 53-68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5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מהו חומר</w:t>
      </w:r>
      <w:r>
        <w:rPr>
          <w:rFonts w:hint="cs"/>
          <w:rtl/>
        </w:rPr>
        <w:t xml:space="preserve">? </w:t>
      </w:r>
    </w:p>
    <w:p w:rsidR="00E4736A" w:rsidRDefault="00E4736A" w:rsidP="00E4736A">
      <w:pPr>
        <w:pStyle w:val="a4"/>
        <w:numPr>
          <w:ilvl w:val="1"/>
          <w:numId w:val="8"/>
        </w:numPr>
        <w:spacing w:line="360" w:lineRule="auto"/>
        <w:jc w:val="both"/>
      </w:pPr>
      <w:r>
        <w:rPr>
          <w:rFonts w:hint="cs"/>
          <w:rtl/>
        </w:rPr>
        <w:t>רוני על פסיפסים</w:t>
      </w:r>
    </w:p>
    <w:p w:rsidR="00E4736A" w:rsidRDefault="00E4736A" w:rsidP="00E4736A">
      <w:pPr>
        <w:pStyle w:val="a4"/>
        <w:numPr>
          <w:ilvl w:val="1"/>
          <w:numId w:val="8"/>
        </w:numPr>
        <w:spacing w:line="360" w:lineRule="auto"/>
        <w:jc w:val="both"/>
      </w:pPr>
      <w:r>
        <w:rPr>
          <w:rFonts w:hint="cs"/>
          <w:rtl/>
        </w:rPr>
        <w:t xml:space="preserve">יונתן על עץ ופלסטיק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מיתולוגיות של בארת על פלסטיק ועץ 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6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קרמיקה</w:t>
      </w:r>
      <w:r>
        <w:rPr>
          <w:rFonts w:hint="cs"/>
          <w:rtl/>
        </w:rPr>
        <w:t xml:space="preserve">...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?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7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שיש, סרקופגים ופיסול</w:t>
      </w:r>
      <w:r>
        <w:rPr>
          <w:rFonts w:hint="cs"/>
          <w:rtl/>
        </w:rPr>
        <w:t xml:space="preserve"> 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? 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8 + 9 </w:t>
      </w:r>
    </w:p>
    <w:p w:rsidR="00E4736A" w:rsidRPr="00935489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i/>
          <w:iCs/>
        </w:rPr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 xml:space="preserve">ייצור, בתי-מלאכה ומגמות עכשוויות בייצור: </w:t>
      </w:r>
      <w:r w:rsidRPr="00935489">
        <w:rPr>
          <w:i/>
          <w:iCs/>
        </w:rPr>
        <w:t>mass customization, co-design, micro-manufacture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</w:t>
      </w:r>
      <w:r>
        <w:t>???</w:t>
      </w:r>
      <w:r>
        <w:rPr>
          <w:rFonts w:hint="cs"/>
          <w:rtl/>
        </w:rPr>
        <w:t xml:space="preserve">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10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ריהוט לפי חדרים או לפי פונקציות</w:t>
      </w:r>
      <w:r>
        <w:rPr>
          <w:rFonts w:hint="cs"/>
          <w:rtl/>
        </w:rPr>
        <w:t xml:space="preserve">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אדולף לוס על הריהוט המודרני   </w:t>
      </w: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lastRenderedPageBreak/>
        <w:t>שיעור 11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צורפות ותכשיטים</w:t>
      </w:r>
      <w:r>
        <w:rPr>
          <w:rFonts w:hint="cs"/>
          <w:rtl/>
        </w:rPr>
        <w:t xml:space="preserve"> + </w:t>
      </w:r>
      <w:r w:rsidRPr="00935489">
        <w:rPr>
          <w:rFonts w:hint="cs"/>
          <w:i/>
          <w:iCs/>
          <w:rtl/>
        </w:rPr>
        <w:t>מעמד וסטאטוס</w:t>
      </w:r>
      <w:r>
        <w:rPr>
          <w:rFonts w:hint="cs"/>
          <w:rtl/>
        </w:rPr>
        <w:t xml:space="preserve">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בורדיה על טעם  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>שיעור 12</w:t>
      </w:r>
      <w:r>
        <w:rPr>
          <w:rFonts w:hint="cs"/>
          <w:b/>
          <w:bCs/>
          <w:rtl/>
        </w:rPr>
        <w:t xml:space="preserve"> + 13 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תרבות הצריכה, צרכנות ומיתוג בעולם העתיק</w:t>
      </w:r>
      <w:r>
        <w:rPr>
          <w:rFonts w:hint="cs"/>
          <w:rtl/>
        </w:rPr>
        <w:t xml:space="preserve">  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קולין קמפבל     </w:t>
      </w:r>
    </w:p>
    <w:p w:rsid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</w:t>
      </w:r>
      <w:r>
        <w:rPr>
          <w:rFonts w:hint="cs"/>
          <w:b/>
          <w:bCs/>
          <w:rtl/>
        </w:rPr>
        <w:t>14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אופנה, ביגוד ונעליים</w:t>
      </w:r>
      <w:r>
        <w:rPr>
          <w:rFonts w:hint="cs"/>
          <w:rtl/>
        </w:rPr>
        <w:t xml:space="preserve"> 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זימל על אופנה  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</w:t>
      </w:r>
      <w:r>
        <w:rPr>
          <w:rFonts w:hint="cs"/>
          <w:b/>
          <w:bCs/>
          <w:rtl/>
        </w:rPr>
        <w:t>15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חיקוי ופרשנות של חומרים ומעבר סגנוני בין תרבויות</w:t>
      </w:r>
      <w:r>
        <w:rPr>
          <w:rFonts w:hint="cs"/>
          <w:rtl/>
        </w:rPr>
        <w:t xml:space="preserve">  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?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</w:t>
      </w:r>
      <w:r>
        <w:rPr>
          <w:rFonts w:hint="cs"/>
          <w:b/>
          <w:bCs/>
          <w:rtl/>
        </w:rPr>
        <w:t>16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המטבח, ריהוט, כלים ואזורי אכילה ואכסון מהעולם העתיק ועד מטבח פרנקפורט</w:t>
      </w:r>
      <w:r>
        <w:rPr>
          <w:rFonts w:hint="cs"/>
          <w:rtl/>
        </w:rPr>
        <w:t xml:space="preserve">  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על מטבח פרנקפורט    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</w:t>
      </w:r>
      <w:r>
        <w:rPr>
          <w:rFonts w:hint="cs"/>
          <w:b/>
          <w:bCs/>
          <w:rtl/>
        </w:rPr>
        <w:t>17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שירותים ציבוריים ופרטיים וסניטציה</w:t>
      </w:r>
      <w:r>
        <w:rPr>
          <w:rFonts w:hint="cs"/>
          <w:rtl/>
        </w:rPr>
        <w:t xml:space="preserve">   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מהספר על השירותים (של רסלינג) </w:t>
      </w:r>
    </w:p>
    <w:p w:rsidR="00935489" w:rsidRDefault="00935489" w:rsidP="00E4736A">
      <w:pPr>
        <w:pStyle w:val="a4"/>
        <w:spacing w:line="360" w:lineRule="auto"/>
        <w:jc w:val="both"/>
        <w:rPr>
          <w:b/>
          <w:bCs/>
          <w:rtl/>
        </w:rPr>
      </w:pPr>
    </w:p>
    <w:p w:rsidR="00E4736A" w:rsidRPr="00E4736A" w:rsidRDefault="00E4736A" w:rsidP="00E4736A">
      <w:pPr>
        <w:pStyle w:val="a4"/>
        <w:spacing w:line="360" w:lineRule="auto"/>
        <w:jc w:val="both"/>
        <w:rPr>
          <w:b/>
          <w:bCs/>
          <w:rtl/>
        </w:rPr>
      </w:pPr>
      <w:r w:rsidRPr="00E4736A">
        <w:rPr>
          <w:rFonts w:hint="cs"/>
          <w:b/>
          <w:bCs/>
          <w:rtl/>
        </w:rPr>
        <w:t xml:space="preserve">שיעור </w:t>
      </w:r>
      <w:r>
        <w:rPr>
          <w:rFonts w:hint="cs"/>
          <w:b/>
          <w:bCs/>
          <w:rtl/>
        </w:rPr>
        <w:t>18</w:t>
      </w:r>
    </w:p>
    <w:p w:rsid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</w:pPr>
      <w:r w:rsidRPr="00935489">
        <w:rPr>
          <w:rFonts w:hint="cs"/>
          <w:b/>
          <w:bCs/>
          <w:rtl/>
        </w:rPr>
        <w:t>נושא</w:t>
      </w:r>
      <w:r>
        <w:rPr>
          <w:rFonts w:hint="cs"/>
          <w:rtl/>
        </w:rPr>
        <w:t xml:space="preserve">: </w:t>
      </w:r>
      <w:r w:rsidRPr="00935489">
        <w:rPr>
          <w:rFonts w:hint="cs"/>
          <w:i/>
          <w:iCs/>
          <w:rtl/>
        </w:rPr>
        <w:t>אוכל ומתכונים ועיצוב אוכל</w:t>
      </w:r>
      <w:r>
        <w:rPr>
          <w:rFonts w:hint="cs"/>
          <w:rtl/>
        </w:rPr>
        <w:t xml:space="preserve"> </w:t>
      </w:r>
    </w:p>
    <w:p w:rsidR="00E4736A" w:rsidRPr="00E4736A" w:rsidRDefault="00E4736A" w:rsidP="00E4736A">
      <w:pPr>
        <w:pStyle w:val="a4"/>
        <w:numPr>
          <w:ilvl w:val="0"/>
          <w:numId w:val="8"/>
        </w:numPr>
        <w:spacing w:line="360" w:lineRule="auto"/>
        <w:jc w:val="both"/>
        <w:rPr>
          <w:rtl/>
        </w:rPr>
      </w:pPr>
      <w:r w:rsidRPr="00935489">
        <w:rPr>
          <w:rFonts w:hint="cs"/>
          <w:b/>
          <w:bCs/>
          <w:rtl/>
        </w:rPr>
        <w:t>קריאה</w:t>
      </w:r>
      <w:r>
        <w:rPr>
          <w:rFonts w:hint="cs"/>
          <w:rtl/>
        </w:rPr>
        <w:t xml:space="preserve">:     </w:t>
      </w:r>
    </w:p>
    <w:p w:rsidR="00E4736A" w:rsidRPr="00E4736A" w:rsidRDefault="00E4736A" w:rsidP="00E4736A">
      <w:pPr>
        <w:pStyle w:val="a4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E4736A" w:rsidRDefault="00E4736A" w:rsidP="00E4736A">
      <w:pPr>
        <w:pStyle w:val="a4"/>
        <w:spacing w:line="360" w:lineRule="auto"/>
        <w:jc w:val="both"/>
        <w:rPr>
          <w:rtl/>
        </w:rPr>
      </w:pPr>
    </w:p>
    <w:p w:rsidR="00F96E9D" w:rsidRPr="00F96E9D" w:rsidRDefault="00F96E9D" w:rsidP="00F96E9D">
      <w:pPr>
        <w:pStyle w:val="a4"/>
        <w:spacing w:line="360" w:lineRule="auto"/>
        <w:jc w:val="both"/>
        <w:rPr>
          <w:b/>
          <w:bCs/>
          <w:rtl/>
        </w:rPr>
      </w:pPr>
      <w:r w:rsidRPr="00F96E9D">
        <w:rPr>
          <w:rFonts w:hint="cs"/>
          <w:b/>
          <w:bCs/>
          <w:rtl/>
        </w:rPr>
        <w:t xml:space="preserve">ביבליוגרפיה ראשונית </w:t>
      </w:r>
    </w:p>
    <w:p w:rsidR="00F96E9D" w:rsidRPr="00A14790" w:rsidRDefault="00F96E9D" w:rsidP="00F96E9D">
      <w:pPr>
        <w:pStyle w:val="a4"/>
        <w:spacing w:line="360" w:lineRule="auto"/>
        <w:jc w:val="both"/>
        <w:rPr>
          <w:rtl/>
        </w:rPr>
      </w:pPr>
      <w:r w:rsidRPr="00A14790">
        <w:rPr>
          <w:rFonts w:cs="Arial"/>
          <w:rtl/>
        </w:rPr>
        <w:t xml:space="preserve">אדורנו, תיאודור </w:t>
      </w:r>
      <w:r w:rsidRPr="00A14790">
        <w:rPr>
          <w:rFonts w:cs="Arial" w:hint="cs"/>
          <w:rtl/>
        </w:rPr>
        <w:t>ו</w:t>
      </w:r>
      <w:r w:rsidRPr="00A14790">
        <w:rPr>
          <w:rFonts w:cs="Arial"/>
          <w:rtl/>
        </w:rPr>
        <w:t>הורקהיימר</w:t>
      </w:r>
      <w:r w:rsidRPr="00A14790">
        <w:rPr>
          <w:rFonts w:cs="Arial" w:hint="cs"/>
          <w:rtl/>
        </w:rPr>
        <w:t>, מקס</w:t>
      </w:r>
      <w:r w:rsidRPr="00A14790">
        <w:rPr>
          <w:rFonts w:cs="Arial"/>
          <w:rtl/>
        </w:rPr>
        <w:t xml:space="preserve">. 2003. </w:t>
      </w:r>
      <w:r w:rsidRPr="00A14790">
        <w:rPr>
          <w:rFonts w:cs="Arial"/>
          <w:i/>
          <w:iCs/>
          <w:rtl/>
        </w:rPr>
        <w:t>אסכולת פרנקפורט: מבחר</w:t>
      </w:r>
      <w:r w:rsidRPr="00A14790">
        <w:rPr>
          <w:rFonts w:cs="Arial"/>
          <w:rtl/>
        </w:rPr>
        <w:t>. תל-אביב: ספרית פועלים</w:t>
      </w:r>
      <w:r w:rsidRPr="00A14790">
        <w:rPr>
          <w:rtl/>
        </w:rPr>
        <w:t xml:space="preserve">. </w:t>
      </w:r>
    </w:p>
    <w:p w:rsidR="00F96E9D" w:rsidRPr="00A14790" w:rsidRDefault="00F96E9D" w:rsidP="00F96E9D">
      <w:pPr>
        <w:pStyle w:val="a4"/>
        <w:spacing w:line="360" w:lineRule="auto"/>
        <w:ind w:left="509" w:hanging="509"/>
        <w:jc w:val="both"/>
        <w:rPr>
          <w:rFonts w:cs="Arial"/>
          <w:rtl/>
        </w:rPr>
      </w:pPr>
      <w:r w:rsidRPr="00A14790">
        <w:rPr>
          <w:rFonts w:cs="Arial" w:hint="cs"/>
          <w:rtl/>
        </w:rPr>
        <w:t xml:space="preserve">אילוז, אווה. 2002. </w:t>
      </w:r>
      <w:r w:rsidRPr="00A14790">
        <w:rPr>
          <w:rFonts w:cs="Arial" w:hint="cs"/>
          <w:i/>
          <w:iCs/>
          <w:rtl/>
        </w:rPr>
        <w:t>האוטופיה הרומנטית: בין אהבה לצרכנות</w:t>
      </w:r>
      <w:r w:rsidRPr="00A14790">
        <w:rPr>
          <w:rFonts w:cs="Arial" w:hint="cs"/>
          <w:rtl/>
        </w:rPr>
        <w:t xml:space="preserve">. חיפה: הוצאת הספרים של אוניברסיטת חיפה. </w:t>
      </w:r>
    </w:p>
    <w:p w:rsidR="00F96E9D" w:rsidRPr="00A14790" w:rsidRDefault="00F96E9D" w:rsidP="00F96E9D">
      <w:pPr>
        <w:pStyle w:val="a4"/>
        <w:spacing w:line="360" w:lineRule="auto"/>
        <w:ind w:left="567" w:hanging="567"/>
        <w:jc w:val="both"/>
        <w:rPr>
          <w:rFonts w:cs="Arial"/>
          <w:rtl/>
        </w:rPr>
      </w:pPr>
      <w:r w:rsidRPr="00A14790">
        <w:rPr>
          <w:rFonts w:cs="Arial"/>
          <w:rtl/>
        </w:rPr>
        <w:t>אריסטו. 2002</w:t>
      </w:r>
      <w:r>
        <w:rPr>
          <w:rFonts w:cs="Arial" w:hint="cs"/>
          <w:rtl/>
        </w:rPr>
        <w:t xml:space="preserve"> [330-335 לפנה"ס]</w:t>
      </w:r>
      <w:r w:rsidRPr="00A14790">
        <w:rPr>
          <w:rFonts w:cs="Arial"/>
          <w:rtl/>
        </w:rPr>
        <w:t xml:space="preserve">. </w:t>
      </w:r>
      <w:r w:rsidRPr="00A14790">
        <w:rPr>
          <w:rFonts w:cs="Arial"/>
          <w:i/>
          <w:iCs/>
          <w:rtl/>
        </w:rPr>
        <w:t>פואטיקה</w:t>
      </w:r>
      <w:r w:rsidRPr="00A14790">
        <w:rPr>
          <w:rFonts w:cs="Arial"/>
          <w:rtl/>
        </w:rPr>
        <w:t xml:space="preserve">. ירושלים:מאגנס. </w:t>
      </w:r>
    </w:p>
    <w:p w:rsidR="00F96E9D" w:rsidRPr="00A14790" w:rsidRDefault="00F96E9D" w:rsidP="00F96E9D">
      <w:pPr>
        <w:pStyle w:val="a4"/>
        <w:spacing w:line="360" w:lineRule="auto"/>
        <w:ind w:left="567" w:hanging="567"/>
        <w:jc w:val="both"/>
        <w:rPr>
          <w:rFonts w:cs="Arial"/>
          <w:rtl/>
        </w:rPr>
      </w:pPr>
      <w:r w:rsidRPr="00A14790">
        <w:rPr>
          <w:rFonts w:cs="Arial" w:hint="cs"/>
          <w:rtl/>
        </w:rPr>
        <w:t xml:space="preserve">באומן, זיגמונט. 2002. </w:t>
      </w:r>
      <w:r w:rsidRPr="00A14790">
        <w:rPr>
          <w:rFonts w:cs="Arial" w:hint="cs"/>
          <w:i/>
          <w:iCs/>
          <w:rtl/>
        </w:rPr>
        <w:t>גלובליזציה: ההיבט האנושי</w:t>
      </w:r>
      <w:r w:rsidRPr="00A14790">
        <w:rPr>
          <w:rFonts w:cs="Arial" w:hint="cs"/>
          <w:rtl/>
        </w:rPr>
        <w:t xml:space="preserve">. תל-אביב: הקיבוץ המאוחד. </w:t>
      </w:r>
    </w:p>
    <w:p w:rsidR="00F96E9D" w:rsidRPr="00A14790" w:rsidRDefault="00F96E9D" w:rsidP="00F96E9D">
      <w:pPr>
        <w:pStyle w:val="a4"/>
        <w:spacing w:line="360" w:lineRule="auto"/>
        <w:ind w:left="567" w:hanging="567"/>
        <w:jc w:val="both"/>
        <w:rPr>
          <w:rtl/>
        </w:rPr>
      </w:pPr>
      <w:r w:rsidRPr="00A14790">
        <w:rPr>
          <w:rtl/>
        </w:rPr>
        <w:t xml:space="preserve">בארת, רולאן. 1998. </w:t>
      </w:r>
      <w:r w:rsidRPr="00A14790">
        <w:rPr>
          <w:i/>
          <w:iCs/>
          <w:rtl/>
        </w:rPr>
        <w:t>מיתולוגיות</w:t>
      </w:r>
      <w:r w:rsidRPr="00A14790">
        <w:rPr>
          <w:rtl/>
        </w:rPr>
        <w:t xml:space="preserve">. תל-אביב: בבל. </w:t>
      </w:r>
    </w:p>
    <w:p w:rsidR="00F96E9D" w:rsidRPr="00A14790" w:rsidRDefault="00F96E9D" w:rsidP="00F96E9D">
      <w:pPr>
        <w:pStyle w:val="a4"/>
        <w:spacing w:line="360" w:lineRule="auto"/>
        <w:ind w:left="567" w:hanging="567"/>
        <w:jc w:val="both"/>
        <w:rPr>
          <w:rtl/>
        </w:rPr>
      </w:pPr>
      <w:r w:rsidRPr="00A14790">
        <w:rPr>
          <w:rFonts w:hint="cs"/>
          <w:rtl/>
        </w:rPr>
        <w:lastRenderedPageBreak/>
        <w:t xml:space="preserve">בארת, רולאן. 2005. </w:t>
      </w:r>
      <w:r w:rsidRPr="00A14790">
        <w:rPr>
          <w:rFonts w:hint="cs"/>
          <w:i/>
          <w:iCs/>
          <w:rtl/>
        </w:rPr>
        <w:t>מות המחבר</w:t>
      </w:r>
      <w:r w:rsidRPr="00A14790">
        <w:rPr>
          <w:rFonts w:hint="cs"/>
          <w:rtl/>
        </w:rPr>
        <w:t xml:space="preserve">. תל-אביב: רסלינג. </w:t>
      </w:r>
    </w:p>
    <w:p w:rsidR="00F96E9D" w:rsidRPr="00A14790" w:rsidRDefault="00F96E9D" w:rsidP="00F96E9D">
      <w:pPr>
        <w:pStyle w:val="a4"/>
        <w:spacing w:line="360" w:lineRule="auto"/>
        <w:ind w:left="567" w:hanging="567"/>
        <w:jc w:val="both"/>
        <w:rPr>
          <w:rtl/>
        </w:rPr>
      </w:pPr>
      <w:r w:rsidRPr="00A14790">
        <w:rPr>
          <w:rFonts w:hint="cs"/>
          <w:rtl/>
        </w:rPr>
        <w:t xml:space="preserve">בארת, רולאן. 2006. </w:t>
      </w:r>
      <w:r w:rsidRPr="00A14790">
        <w:rPr>
          <w:rFonts w:hint="cs"/>
          <w:i/>
          <w:iCs/>
          <w:rtl/>
        </w:rPr>
        <w:t>יסודות בסמיולוגיה</w:t>
      </w:r>
      <w:r w:rsidRPr="00A14790">
        <w:rPr>
          <w:rFonts w:hint="cs"/>
          <w:rtl/>
        </w:rPr>
        <w:t xml:space="preserve">. תל-אביב: רסלינג. </w:t>
      </w:r>
    </w:p>
    <w:p w:rsidR="00F96E9D" w:rsidRPr="00A14790" w:rsidRDefault="00F96E9D" w:rsidP="00F96E9D">
      <w:pPr>
        <w:pStyle w:val="a4"/>
        <w:spacing w:line="360" w:lineRule="auto"/>
        <w:ind w:left="567" w:hanging="567"/>
        <w:jc w:val="both"/>
        <w:rPr>
          <w:rtl/>
        </w:rPr>
      </w:pPr>
      <w:r w:rsidRPr="00A14790">
        <w:rPr>
          <w:rtl/>
        </w:rPr>
        <w:t xml:space="preserve">בודריאר, ז'אן. 2007. </w:t>
      </w:r>
      <w:r w:rsidRPr="00A14790">
        <w:rPr>
          <w:i/>
          <w:iCs/>
          <w:rtl/>
        </w:rPr>
        <w:t>סימולקרות וסימולציה.</w:t>
      </w:r>
      <w:r w:rsidRPr="00A14790">
        <w:rPr>
          <w:rtl/>
        </w:rPr>
        <w:t xml:space="preserve"> תל-אביב: הקיבוץ המאוחד. </w:t>
      </w:r>
    </w:p>
    <w:p w:rsidR="00F96E9D" w:rsidRPr="00A14790" w:rsidRDefault="00F96E9D" w:rsidP="00F96E9D">
      <w:pPr>
        <w:pStyle w:val="a4"/>
        <w:spacing w:line="360" w:lineRule="auto"/>
        <w:ind w:left="509" w:hanging="509"/>
        <w:jc w:val="both"/>
        <w:rPr>
          <w:rtl/>
        </w:rPr>
      </w:pPr>
      <w:r w:rsidRPr="00A14790">
        <w:rPr>
          <w:rFonts w:hint="cs"/>
          <w:rtl/>
        </w:rPr>
        <w:t xml:space="preserve">בורדייה, פייר. א2005. </w:t>
      </w:r>
      <w:r w:rsidRPr="00A14790">
        <w:rPr>
          <w:rFonts w:hint="cs"/>
          <w:i/>
          <w:iCs/>
          <w:rtl/>
        </w:rPr>
        <w:t>שאלות בסוציולוגיה</w:t>
      </w:r>
      <w:r w:rsidRPr="00A14790">
        <w:rPr>
          <w:rFonts w:hint="cs"/>
          <w:rtl/>
        </w:rPr>
        <w:t xml:space="preserve">. תל-אביב: רסלינג. </w:t>
      </w:r>
    </w:p>
    <w:p w:rsidR="00F96E9D" w:rsidRPr="00A14790" w:rsidRDefault="00F96E9D" w:rsidP="00F96E9D">
      <w:pPr>
        <w:pStyle w:val="a4"/>
        <w:spacing w:line="360" w:lineRule="auto"/>
        <w:ind w:left="509" w:hanging="509"/>
        <w:jc w:val="both"/>
        <w:rPr>
          <w:rFonts w:cs="Arial"/>
          <w:rtl/>
        </w:rPr>
      </w:pPr>
      <w:r w:rsidRPr="00A14790">
        <w:rPr>
          <w:rFonts w:cs="Arial" w:hint="cs"/>
          <w:rtl/>
        </w:rPr>
        <w:t xml:space="preserve">ברודל, פרנן. 2005. </w:t>
      </w:r>
      <w:r w:rsidRPr="00A14790">
        <w:rPr>
          <w:rFonts w:cs="Arial" w:hint="cs"/>
          <w:i/>
          <w:iCs/>
          <w:rtl/>
        </w:rPr>
        <w:t>הדינמיקה של הקפיטליזם</w:t>
      </w:r>
      <w:r w:rsidRPr="00A14790">
        <w:rPr>
          <w:rFonts w:cs="Arial" w:hint="cs"/>
          <w:rtl/>
        </w:rPr>
        <w:t xml:space="preserve">. תל-אביב: רסלינג. </w:t>
      </w:r>
    </w:p>
    <w:p w:rsidR="00F96E9D" w:rsidRPr="00A14790" w:rsidRDefault="00F96E9D" w:rsidP="00F96E9D">
      <w:pPr>
        <w:pStyle w:val="a4"/>
        <w:spacing w:line="360" w:lineRule="auto"/>
        <w:jc w:val="both"/>
        <w:rPr>
          <w:rFonts w:cs="Arial"/>
          <w:rtl/>
        </w:rPr>
      </w:pPr>
      <w:r w:rsidRPr="00A14790">
        <w:rPr>
          <w:rFonts w:cs="Arial" w:hint="cs"/>
          <w:rtl/>
        </w:rPr>
        <w:t xml:space="preserve">הבידג', דיק. 2008. </w:t>
      </w:r>
      <w:r w:rsidRPr="00A14790">
        <w:rPr>
          <w:rFonts w:cs="Arial" w:hint="cs"/>
          <w:i/>
          <w:iCs/>
          <w:rtl/>
        </w:rPr>
        <w:t xml:space="preserve">תת-תרבות: פאנק </w:t>
      </w:r>
      <w:r w:rsidRPr="00A14790">
        <w:rPr>
          <w:rFonts w:cs="Arial"/>
          <w:i/>
          <w:iCs/>
          <w:rtl/>
        </w:rPr>
        <w:t>–</w:t>
      </w:r>
      <w:r w:rsidRPr="00A14790">
        <w:rPr>
          <w:rFonts w:cs="Arial" w:hint="cs"/>
          <w:i/>
          <w:iCs/>
          <w:rtl/>
        </w:rPr>
        <w:t xml:space="preserve"> משמעותו של סגנון</w:t>
      </w:r>
      <w:r w:rsidRPr="00A14790">
        <w:rPr>
          <w:rFonts w:cs="Arial" w:hint="cs"/>
          <w:rtl/>
        </w:rPr>
        <w:t xml:space="preserve">. תל-אביב: רסלינג. </w:t>
      </w:r>
    </w:p>
    <w:p w:rsidR="00F96E9D" w:rsidRPr="00A14790" w:rsidRDefault="00F96E9D" w:rsidP="00F96E9D">
      <w:pPr>
        <w:pStyle w:val="a4"/>
        <w:spacing w:line="360" w:lineRule="auto"/>
        <w:ind w:left="509" w:hanging="509"/>
        <w:jc w:val="both"/>
        <w:rPr>
          <w:rFonts w:cs="Arial"/>
          <w:rtl/>
        </w:rPr>
      </w:pPr>
      <w:r w:rsidRPr="00A14790">
        <w:rPr>
          <w:rFonts w:cs="Arial" w:hint="cs"/>
          <w:rtl/>
        </w:rPr>
        <w:t xml:space="preserve">זימל, גאורג. 2007. "העיר הגדולה וחיי הנפש", בתוך: </w:t>
      </w:r>
      <w:r w:rsidRPr="00A14790">
        <w:rPr>
          <w:rFonts w:cs="Arial" w:hint="cs"/>
          <w:i/>
          <w:iCs/>
          <w:rtl/>
        </w:rPr>
        <w:t>אורבניזם: הסוציולוגיה של העיר המודרנית</w:t>
      </w:r>
      <w:r w:rsidRPr="00A14790">
        <w:rPr>
          <w:rFonts w:cs="Arial" w:hint="cs"/>
          <w:rtl/>
        </w:rPr>
        <w:t xml:space="preserve">. (מנדה-לוי, עורך). עמודים 23-40. תל-אביב: רסלינג. </w:t>
      </w:r>
    </w:p>
    <w:p w:rsidR="00F96E9D" w:rsidRPr="00A14790" w:rsidRDefault="00F96E9D" w:rsidP="00F96E9D">
      <w:pPr>
        <w:pStyle w:val="a4"/>
        <w:spacing w:line="360" w:lineRule="auto"/>
        <w:ind w:left="509" w:hanging="509"/>
        <w:jc w:val="both"/>
        <w:rPr>
          <w:rFonts w:cs="Arial"/>
          <w:rtl/>
        </w:rPr>
      </w:pPr>
      <w:r w:rsidRPr="00A14790">
        <w:rPr>
          <w:rFonts w:cs="Arial" w:hint="cs"/>
          <w:rtl/>
        </w:rPr>
        <w:t xml:space="preserve">לאטור, ברונו. 2005. "מעול לא היינו מודרניים: מסה באנתרופולוגיה סימטרית </w:t>
      </w:r>
      <w:r w:rsidRPr="00A14790">
        <w:rPr>
          <w:rFonts w:cs="Arial"/>
          <w:rtl/>
        </w:rPr>
        <w:t>–</w:t>
      </w:r>
      <w:r w:rsidRPr="00A14790">
        <w:rPr>
          <w:rFonts w:cs="Arial" w:hint="cs"/>
          <w:rtl/>
        </w:rPr>
        <w:t xml:space="preserve"> מבחר פרקים". </w:t>
      </w:r>
      <w:r w:rsidRPr="00A14790">
        <w:rPr>
          <w:rFonts w:cs="Arial" w:hint="cs"/>
          <w:i/>
          <w:iCs/>
          <w:rtl/>
        </w:rPr>
        <w:t>תיאוריה וביקורת</w:t>
      </w:r>
      <w:r w:rsidRPr="00A14790">
        <w:rPr>
          <w:rFonts w:cs="Arial" w:hint="cs"/>
          <w:rtl/>
        </w:rPr>
        <w:t xml:space="preserve"> 43-73:26. </w:t>
      </w:r>
    </w:p>
    <w:p w:rsidR="00F96E9D" w:rsidRDefault="00F96E9D" w:rsidP="00F96E9D">
      <w:pPr>
        <w:pStyle w:val="a4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פוסטמן, ניל. 2003. </w:t>
      </w:r>
      <w:r w:rsidRPr="00892148">
        <w:rPr>
          <w:rFonts w:hint="eastAsia"/>
          <w:i/>
          <w:iCs/>
          <w:rtl/>
        </w:rPr>
        <w:t>טכנופולין</w:t>
      </w:r>
      <w:r>
        <w:rPr>
          <w:rFonts w:hint="cs"/>
          <w:rtl/>
        </w:rPr>
        <w:t xml:space="preserve">. תל-אביב: הקיבוץ המאוחד. </w:t>
      </w:r>
    </w:p>
    <w:p w:rsidR="00F96E9D" w:rsidRDefault="00F96E9D" w:rsidP="00F96E9D">
      <w:pPr>
        <w:pStyle w:val="a4"/>
        <w:spacing w:line="360" w:lineRule="auto"/>
        <w:jc w:val="both"/>
        <w:rPr>
          <w:rtl/>
        </w:rPr>
      </w:pPr>
      <w:r w:rsidRPr="00A14790">
        <w:rPr>
          <w:rFonts w:hint="cs"/>
          <w:rtl/>
        </w:rPr>
        <w:t xml:space="preserve">פטרוסקי, הנרי. 2009. </w:t>
      </w:r>
      <w:r w:rsidRPr="00A14790">
        <w:rPr>
          <w:rFonts w:hint="cs"/>
          <w:i/>
          <w:iCs/>
          <w:rtl/>
        </w:rPr>
        <w:t xml:space="preserve">חפצים שימושיים. </w:t>
      </w:r>
      <w:r w:rsidRPr="00A14790">
        <w:rPr>
          <w:rFonts w:hint="cs"/>
          <w:rtl/>
        </w:rPr>
        <w:t>תל-אביב:</w:t>
      </w:r>
      <w:r w:rsidRPr="00A14790">
        <w:rPr>
          <w:rFonts w:hint="cs"/>
        </w:rPr>
        <w:t xml:space="preserve"> </w:t>
      </w:r>
      <w:r w:rsidRPr="00A14790">
        <w:rPr>
          <w:rFonts w:hint="cs"/>
          <w:rtl/>
        </w:rPr>
        <w:t xml:space="preserve">עם עובד. </w:t>
      </w:r>
    </w:p>
    <w:p w:rsidR="00F96E9D" w:rsidRPr="00A14790" w:rsidRDefault="00F96E9D" w:rsidP="00F96E9D">
      <w:pPr>
        <w:pStyle w:val="a4"/>
        <w:spacing w:line="360" w:lineRule="auto"/>
        <w:jc w:val="both"/>
        <w:rPr>
          <w:rtl/>
        </w:rPr>
      </w:pPr>
    </w:p>
    <w:p w:rsidR="00F96E9D" w:rsidRPr="00F96E9D" w:rsidRDefault="00F96E9D" w:rsidP="00F96E9D">
      <w:pPr>
        <w:pStyle w:val="a4"/>
        <w:bidi w:val="0"/>
        <w:spacing w:line="360" w:lineRule="auto"/>
        <w:ind w:left="709" w:hanging="709"/>
        <w:jc w:val="both"/>
      </w:pPr>
      <w:r w:rsidRPr="00F96E9D">
        <w:rPr>
          <w:rStyle w:val="f61"/>
          <w:rFonts w:asciiTheme="minorHAnsi" w:hAnsiTheme="minorHAnsi" w:cs="Arial"/>
          <w:sz w:val="22"/>
          <w:szCs w:val="22"/>
        </w:rPr>
        <w:t>Appadurai, Arjun. 1986</w:t>
      </w:r>
      <w:r w:rsidRPr="00F96E9D">
        <w:t xml:space="preserve">. "Introduction: Commodities and the Politics of Value". In: </w:t>
      </w:r>
      <w:r w:rsidRPr="00F96E9D">
        <w:rPr>
          <w:i/>
          <w:iCs/>
        </w:rPr>
        <w:t>The Social Life of Things: Commodities in Cultural Perspective</w:t>
      </w:r>
      <w:r w:rsidRPr="00F96E9D">
        <w:t>. Arjun Appadurai (Ed.). pp. 3-63. Cambridge: Cambridge University Press</w:t>
      </w:r>
      <w:r w:rsidRPr="00F96E9D">
        <w:rPr>
          <w:rStyle w:val="f61"/>
          <w:rFonts w:asciiTheme="minorHAnsi" w:hAnsiTheme="minorHAnsi" w:cs="Arial"/>
          <w:sz w:val="22"/>
          <w:szCs w:val="22"/>
        </w:rPr>
        <w:t xml:space="preserve">. </w:t>
      </w:r>
    </w:p>
    <w:p w:rsidR="00F96E9D" w:rsidRDefault="00F96E9D" w:rsidP="00F96E9D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Attfield, Judy. 2000. </w:t>
      </w:r>
      <w:r w:rsidRPr="00A14790">
        <w:rPr>
          <w:i/>
          <w:iCs/>
        </w:rPr>
        <w:t>Wild Things: The Material Culture of Everyday Life</w:t>
      </w:r>
      <w:r w:rsidRPr="00A14790">
        <w:t xml:space="preserve">. Oxford: Berg. </w:t>
      </w:r>
    </w:p>
    <w:p w:rsidR="00F96E9D" w:rsidRDefault="00F96E9D" w:rsidP="00F96E9D">
      <w:pPr>
        <w:pStyle w:val="a4"/>
        <w:bidi w:val="0"/>
        <w:spacing w:line="360" w:lineRule="auto"/>
        <w:ind w:left="567" w:hanging="567"/>
        <w:jc w:val="both"/>
      </w:pPr>
      <w:r w:rsidRPr="00F96E9D">
        <w:t>Banks, Marcus. 2007.</w:t>
      </w:r>
      <w:r w:rsidRPr="00F96E9D">
        <w:rPr>
          <w:i/>
          <w:iCs/>
        </w:rPr>
        <w:t xml:space="preserve"> Using Visual Data in Qualitative Research. </w:t>
      </w:r>
      <w:r w:rsidRPr="00F96E9D">
        <w:t>London: Sage Publications.</w:t>
      </w:r>
      <w:r w:rsidRPr="00F96E9D">
        <w:rPr>
          <w:i/>
          <w:iCs/>
        </w:rPr>
        <w:t xml:space="preserve"> </w:t>
      </w:r>
    </w:p>
    <w:p w:rsidR="00F96E9D" w:rsidRPr="00A1738A" w:rsidRDefault="00F96E9D" w:rsidP="00F96E9D">
      <w:pPr>
        <w:pStyle w:val="a4"/>
        <w:bidi w:val="0"/>
        <w:spacing w:line="360" w:lineRule="auto"/>
        <w:ind w:left="567" w:hanging="567"/>
        <w:jc w:val="both"/>
      </w:pPr>
      <w:r w:rsidRPr="00A14790">
        <w:rPr>
          <w:rStyle w:val="f61"/>
          <w:rFonts w:cs="Arial"/>
          <w:sz w:val="22"/>
          <w:szCs w:val="22"/>
        </w:rPr>
        <w:t xml:space="preserve">Barthes, Roland. 1977. </w:t>
      </w:r>
      <w:r w:rsidRPr="00A14790">
        <w:rPr>
          <w:rStyle w:val="f61"/>
          <w:rFonts w:cs="Arial"/>
          <w:i/>
          <w:iCs/>
          <w:sz w:val="22"/>
          <w:szCs w:val="22"/>
        </w:rPr>
        <w:t>Image Music Text</w:t>
      </w:r>
      <w:r w:rsidRPr="00A14790">
        <w:rPr>
          <w:rStyle w:val="f61"/>
          <w:rFonts w:cs="Arial"/>
          <w:sz w:val="22"/>
          <w:szCs w:val="22"/>
        </w:rPr>
        <w:t xml:space="preserve">. </w:t>
      </w:r>
      <w:r w:rsidRPr="00A1738A">
        <w:rPr>
          <w:rStyle w:val="f61"/>
          <w:rFonts w:asciiTheme="minorHAnsi" w:hAnsiTheme="minorHAnsi" w:cs="Arial"/>
          <w:sz w:val="22"/>
          <w:szCs w:val="22"/>
        </w:rPr>
        <w:t>New York: Hill &amp; Wang</w:t>
      </w:r>
      <w:r w:rsidRPr="00A1738A">
        <w:t xml:space="preserve">. </w:t>
      </w:r>
    </w:p>
    <w:p w:rsidR="00F96E9D" w:rsidRPr="00A14790" w:rsidRDefault="00F96E9D" w:rsidP="00F96E9D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Baudrillard, Jean. 1996. </w:t>
      </w:r>
      <w:r w:rsidRPr="00A14790">
        <w:rPr>
          <w:i/>
          <w:iCs/>
        </w:rPr>
        <w:t>The System of Objects</w:t>
      </w:r>
      <w:r w:rsidRPr="00A14790">
        <w:t xml:space="preserve">. London &amp; New York: Verso. </w:t>
      </w:r>
    </w:p>
    <w:p w:rsidR="00F96E9D" w:rsidRPr="00A14790" w:rsidRDefault="00F96E9D" w:rsidP="00F96E9D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Becker, Howard. 1982. </w:t>
      </w:r>
      <w:r w:rsidRPr="00A14790">
        <w:rPr>
          <w:i/>
          <w:iCs/>
        </w:rPr>
        <w:t>Art Worlds</w:t>
      </w:r>
      <w:r w:rsidRPr="00A14790">
        <w:t xml:space="preserve">. Berkeley: University of California Press. </w:t>
      </w:r>
    </w:p>
    <w:p w:rsidR="00F96E9D" w:rsidRPr="00A14790" w:rsidRDefault="00F96E9D" w:rsidP="00F96E9D">
      <w:pPr>
        <w:pStyle w:val="a5"/>
        <w:bidi w:val="0"/>
        <w:spacing w:line="360" w:lineRule="auto"/>
        <w:ind w:left="567" w:hanging="567"/>
        <w:jc w:val="both"/>
        <w:rPr>
          <w:sz w:val="22"/>
          <w:szCs w:val="22"/>
        </w:rPr>
      </w:pPr>
      <w:r w:rsidRPr="00A14790">
        <w:rPr>
          <w:sz w:val="22"/>
          <w:szCs w:val="22"/>
        </w:rPr>
        <w:t xml:space="preserve">Bourdieu, Pierre. 1984. </w:t>
      </w:r>
      <w:r w:rsidRPr="00A14790">
        <w:rPr>
          <w:i/>
          <w:iCs/>
          <w:sz w:val="22"/>
          <w:szCs w:val="22"/>
        </w:rPr>
        <w:t>Distinction: A Social Critique of the Judgment of Taste</w:t>
      </w:r>
      <w:r w:rsidRPr="00A14790">
        <w:rPr>
          <w:sz w:val="22"/>
          <w:szCs w:val="22"/>
        </w:rPr>
        <w:t xml:space="preserve">. Cambridge, MA: Harvard University Press. </w:t>
      </w:r>
    </w:p>
    <w:p w:rsidR="00722456" w:rsidRPr="00A14790" w:rsidRDefault="00722456" w:rsidP="00722456">
      <w:pPr>
        <w:pStyle w:val="a5"/>
        <w:bidi w:val="0"/>
        <w:spacing w:line="360" w:lineRule="auto"/>
        <w:ind w:left="567" w:hanging="567"/>
        <w:jc w:val="both"/>
        <w:rPr>
          <w:sz w:val="22"/>
          <w:szCs w:val="22"/>
        </w:rPr>
      </w:pPr>
      <w:r w:rsidRPr="00A14790">
        <w:rPr>
          <w:sz w:val="22"/>
          <w:szCs w:val="22"/>
        </w:rPr>
        <w:t xml:space="preserve">Buchanan, Richard. 1995. "Rhetoric, Humanism and Design". In: </w:t>
      </w:r>
      <w:r w:rsidRPr="00A14790">
        <w:rPr>
          <w:i/>
          <w:iCs/>
          <w:sz w:val="22"/>
          <w:szCs w:val="22"/>
        </w:rPr>
        <w:t>Discovering Design: Explorations in Design Studies</w:t>
      </w:r>
      <w:r w:rsidRPr="00A14790">
        <w:rPr>
          <w:sz w:val="22"/>
          <w:szCs w:val="22"/>
        </w:rPr>
        <w:t>. Richard Buchanan and Victor Margolin (Eds.). Pp. 23-66. Chicago: Chicago University Press.</w:t>
      </w:r>
    </w:p>
    <w:p w:rsidR="00722456" w:rsidRPr="00A14790" w:rsidRDefault="00722456" w:rsidP="00722456">
      <w:pPr>
        <w:pStyle w:val="a5"/>
        <w:bidi w:val="0"/>
        <w:spacing w:line="360" w:lineRule="auto"/>
        <w:ind w:left="567" w:hanging="567"/>
        <w:jc w:val="both"/>
        <w:rPr>
          <w:sz w:val="22"/>
          <w:szCs w:val="22"/>
        </w:rPr>
      </w:pPr>
      <w:r w:rsidRPr="00A14790">
        <w:rPr>
          <w:sz w:val="22"/>
          <w:szCs w:val="22"/>
        </w:rPr>
        <w:t xml:space="preserve">Campbell, Colin. 2004. "I Shop therefore I Know that I am: The Metaphysical Basis of Modern Consumerism". In: </w:t>
      </w:r>
      <w:r w:rsidRPr="00A14790">
        <w:rPr>
          <w:i/>
          <w:iCs/>
          <w:sz w:val="22"/>
          <w:szCs w:val="22"/>
        </w:rPr>
        <w:t>Elusive Consumption</w:t>
      </w:r>
      <w:r w:rsidRPr="00A14790">
        <w:rPr>
          <w:sz w:val="22"/>
          <w:szCs w:val="22"/>
        </w:rPr>
        <w:t xml:space="preserve">. Karin Ekstrom and Helene Brembeck (Eds.). Pp. 27-44. London: Berg. </w:t>
      </w:r>
    </w:p>
    <w:p w:rsidR="00722456" w:rsidRDefault="00722456" w:rsidP="00722456">
      <w:pPr>
        <w:pStyle w:val="a5"/>
        <w:bidi w:val="0"/>
        <w:spacing w:line="360" w:lineRule="auto"/>
        <w:ind w:left="567" w:hanging="567"/>
        <w:jc w:val="both"/>
        <w:rPr>
          <w:sz w:val="22"/>
          <w:szCs w:val="22"/>
        </w:rPr>
      </w:pPr>
      <w:r w:rsidRPr="00A14790">
        <w:rPr>
          <w:sz w:val="22"/>
          <w:szCs w:val="22"/>
        </w:rPr>
        <w:t xml:space="preserve">Csikszentmihalyi, Mihaly and Rochberg-Halton, Eugene. 1987. </w:t>
      </w:r>
      <w:r w:rsidRPr="00A14790">
        <w:rPr>
          <w:i/>
          <w:iCs/>
          <w:sz w:val="22"/>
          <w:szCs w:val="22"/>
        </w:rPr>
        <w:t>The Meaning of Things: Domestic Symbols and the Self.</w:t>
      </w:r>
      <w:r w:rsidRPr="00A14790">
        <w:rPr>
          <w:sz w:val="22"/>
          <w:szCs w:val="22"/>
        </w:rPr>
        <w:t xml:space="preserve"> Cambridge: Cambridge University Press</w:t>
      </w:r>
      <w:r>
        <w:rPr>
          <w:sz w:val="22"/>
          <w:szCs w:val="22"/>
        </w:rPr>
        <w:t>.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Forty, Adrian. 1986. </w:t>
      </w:r>
      <w:r w:rsidRPr="00A14790">
        <w:rPr>
          <w:i/>
          <w:iCs/>
        </w:rPr>
        <w:t xml:space="preserve">Objects of Desire: Design and Society Since 1750. </w:t>
      </w:r>
      <w:r w:rsidRPr="00A14790">
        <w:t xml:space="preserve">New York: Thames &amp; Hudson.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Gell, Alfred. 1998. </w:t>
      </w:r>
      <w:r w:rsidRPr="00A14790">
        <w:rPr>
          <w:i/>
          <w:iCs/>
        </w:rPr>
        <w:t>Art and Agency: An Anthropological Theory</w:t>
      </w:r>
      <w:r w:rsidRPr="00A14790">
        <w:t>. Oxford: Oxford University Press.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lastRenderedPageBreak/>
        <w:t xml:space="preserve">Griswold, Wendy. 1994. </w:t>
      </w:r>
      <w:r w:rsidRPr="00A14790">
        <w:rPr>
          <w:i/>
          <w:iCs/>
        </w:rPr>
        <w:t>Cultures and Societies in a Changing World</w:t>
      </w:r>
      <w:r w:rsidRPr="00A14790">
        <w:t>. Thousand Oaks: Pine Forge Press.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Julier, Guy. 2000. </w:t>
      </w:r>
      <w:r w:rsidRPr="00A14790">
        <w:rPr>
          <w:i/>
          <w:iCs/>
        </w:rPr>
        <w:t>The Culture of Design</w:t>
      </w:r>
      <w:r w:rsidRPr="00A14790">
        <w:t xml:space="preserve">. London: Sage Publications.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Julier, Guy. 2006. "From Visual Culture to Design Culture". </w:t>
      </w:r>
      <w:r w:rsidRPr="00A14790">
        <w:rPr>
          <w:i/>
          <w:iCs/>
        </w:rPr>
        <w:t>Design Issues</w:t>
      </w:r>
      <w:r w:rsidRPr="00A14790">
        <w:t xml:space="preserve"> 22(1):64-76.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Knorr Cetina, Karin. 2001. "Postsocial Relations: Theorizing Sociality in a Postsocial Environmnet". In: </w:t>
      </w:r>
      <w:r w:rsidRPr="00A14790">
        <w:rPr>
          <w:i/>
          <w:iCs/>
        </w:rPr>
        <w:t>Handbook of Social Theory</w:t>
      </w:r>
      <w:r w:rsidRPr="00A14790">
        <w:t xml:space="preserve">. George Ritzer and Barry Smart.  Pp. 520-537. London: Sage Publications.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Kopytoff, Igor. 1986. "The Cultural Biography of Things: Commodization as a Process". In: </w:t>
      </w:r>
      <w:r w:rsidRPr="00A14790">
        <w:rPr>
          <w:i/>
          <w:iCs/>
        </w:rPr>
        <w:t>The Social Life of Things: Commodities in Cultural Perspective</w:t>
      </w:r>
      <w:r w:rsidRPr="00A14790">
        <w:t xml:space="preserve">. Arjun Appadurai (Ed.). pp. 64-91. Cambridge: Cambridge University Press.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Lash, Scott. 2010. </w:t>
      </w:r>
      <w:r w:rsidRPr="00A14790">
        <w:rPr>
          <w:i/>
          <w:iCs/>
        </w:rPr>
        <w:t>Intensive Culture: Social Theory, Religion and Contemporary Capitalism</w:t>
      </w:r>
      <w:r w:rsidRPr="00A14790">
        <w:t xml:space="preserve">. London: Sage Publications.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Lash, Scott and Lury, Celia. 2007. </w:t>
      </w:r>
      <w:r w:rsidRPr="00A14790">
        <w:rPr>
          <w:i/>
          <w:iCs/>
        </w:rPr>
        <w:t>Global Culture Industry: The Mediation of Things</w:t>
      </w:r>
      <w:r w:rsidRPr="00A14790">
        <w:t>. Cambridge: Polity Press.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Latour, Bruno. 2005. </w:t>
      </w:r>
      <w:r w:rsidRPr="00A14790">
        <w:rPr>
          <w:i/>
          <w:iCs/>
        </w:rPr>
        <w:t>Reassembling the Social: An Introduction to Actor Network Theory</w:t>
      </w:r>
      <w:r w:rsidRPr="00A14790">
        <w:t xml:space="preserve">. Oxford: Oxford University Press. </w:t>
      </w:r>
    </w:p>
    <w:p w:rsidR="00A1738A" w:rsidRPr="00A14790" w:rsidRDefault="00A1738A" w:rsidP="00A1738A">
      <w:pPr>
        <w:pStyle w:val="a4"/>
        <w:bidi w:val="0"/>
        <w:spacing w:line="360" w:lineRule="auto"/>
        <w:jc w:val="both"/>
      </w:pPr>
      <w:r w:rsidRPr="00A14790">
        <w:t xml:space="preserve">Lury, Celia. 1996. </w:t>
      </w:r>
      <w:r w:rsidRPr="00A14790">
        <w:rPr>
          <w:i/>
          <w:iCs/>
        </w:rPr>
        <w:t>Consumer Culture</w:t>
      </w:r>
      <w:r w:rsidRPr="00A14790">
        <w:t xml:space="preserve">. New Brunswick, New Jersey: Rutgers University Press.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Lury, Celia . 2004. </w:t>
      </w:r>
      <w:r w:rsidRPr="00A14790">
        <w:rPr>
          <w:i/>
          <w:iCs/>
        </w:rPr>
        <w:t>Brands: The Logos of the Global Economy</w:t>
      </w:r>
      <w:r w:rsidRPr="00A14790">
        <w:t>. London &amp; New York: Routledge.</w:t>
      </w:r>
    </w:p>
    <w:p w:rsidR="00A1738A" w:rsidRPr="00A14790" w:rsidRDefault="00A1738A" w:rsidP="00A1738A">
      <w:pPr>
        <w:pStyle w:val="a4"/>
        <w:bidi w:val="0"/>
        <w:spacing w:line="360" w:lineRule="auto"/>
        <w:jc w:val="both"/>
        <w:rPr>
          <w:rtl/>
        </w:rPr>
      </w:pPr>
      <w:r w:rsidRPr="00A14790">
        <w:t xml:space="preserve">Margolin, Victor. 2007. "Design, the Future and the Human Spirit". </w:t>
      </w:r>
      <w:r w:rsidRPr="00A14790">
        <w:rPr>
          <w:i/>
          <w:iCs/>
        </w:rPr>
        <w:t>Design Issues</w:t>
      </w:r>
      <w:r w:rsidRPr="00A14790">
        <w:t xml:space="preserve"> 23(3):4-15.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Margolin, Victor. 2009. "Design in History". </w:t>
      </w:r>
      <w:r w:rsidRPr="00A14790">
        <w:rPr>
          <w:i/>
          <w:iCs/>
        </w:rPr>
        <w:t>Design Issues</w:t>
      </w:r>
      <w:r w:rsidRPr="00A14790">
        <w:t xml:space="preserve"> 25(2):94-105.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Miller, </w:t>
      </w:r>
      <w:r>
        <w:t>Daniel. 1998</w:t>
      </w:r>
      <w:r w:rsidRPr="00A14790">
        <w:t xml:space="preserve">. </w:t>
      </w:r>
      <w:r w:rsidRPr="00A14790">
        <w:rPr>
          <w:i/>
          <w:iCs/>
        </w:rPr>
        <w:t>A Theory of Shopping</w:t>
      </w:r>
      <w:r w:rsidRPr="00A14790">
        <w:t xml:space="preserve">. Cambridge: Polity Press. </w:t>
      </w:r>
    </w:p>
    <w:p w:rsidR="00A1738A" w:rsidRPr="00A14790" w:rsidRDefault="00A1738A" w:rsidP="00A1738A">
      <w:pPr>
        <w:pStyle w:val="a4"/>
        <w:bidi w:val="0"/>
        <w:spacing w:line="360" w:lineRule="auto"/>
        <w:ind w:left="567" w:hanging="567"/>
        <w:jc w:val="both"/>
        <w:rPr>
          <w:rFonts w:cs="Arial"/>
        </w:rPr>
      </w:pPr>
      <w:r w:rsidRPr="00A14790">
        <w:rPr>
          <w:rFonts w:cs="Arial"/>
        </w:rPr>
        <w:t xml:space="preserve">Miller, Daniel. 2008. </w:t>
      </w:r>
      <w:r w:rsidRPr="00A14790">
        <w:rPr>
          <w:rFonts w:cs="Arial"/>
          <w:i/>
          <w:iCs/>
        </w:rPr>
        <w:t>The Comfort of Things</w:t>
      </w:r>
      <w:r w:rsidRPr="00A14790">
        <w:rPr>
          <w:rFonts w:cs="Arial"/>
        </w:rPr>
        <w:t xml:space="preserve">. Cambridge: Polity Press. </w:t>
      </w:r>
    </w:p>
    <w:p w:rsidR="0001119E" w:rsidRPr="00A14790" w:rsidRDefault="0001119E" w:rsidP="0001119E">
      <w:pPr>
        <w:pStyle w:val="a4"/>
        <w:bidi w:val="0"/>
        <w:spacing w:line="360" w:lineRule="auto"/>
        <w:jc w:val="both"/>
      </w:pPr>
      <w:r w:rsidRPr="00A14790">
        <w:t xml:space="preserve">Molotch, Harvey. 2005. </w:t>
      </w:r>
      <w:r w:rsidRPr="00A14790">
        <w:rPr>
          <w:i/>
          <w:iCs/>
        </w:rPr>
        <w:t>Where Stuff Comes From</w:t>
      </w:r>
      <w:r w:rsidRPr="00A14790">
        <w:t xml:space="preserve">. New York &amp; London: Routledge. </w:t>
      </w:r>
    </w:p>
    <w:p w:rsidR="0001119E" w:rsidRPr="00A14790" w:rsidRDefault="0001119E" w:rsidP="0001119E">
      <w:pPr>
        <w:pStyle w:val="a4"/>
        <w:bidi w:val="0"/>
        <w:spacing w:line="360" w:lineRule="auto"/>
        <w:jc w:val="both"/>
      </w:pPr>
      <w:r w:rsidRPr="00A14790">
        <w:t xml:space="preserve">Papanek, Victor. 1972. </w:t>
      </w:r>
      <w:r w:rsidRPr="00A14790">
        <w:rPr>
          <w:i/>
          <w:iCs/>
        </w:rPr>
        <w:t>Design for the Real World.</w:t>
      </w:r>
      <w:r w:rsidRPr="00A14790">
        <w:t xml:space="preserve"> London: Thames &amp; Gudson. </w:t>
      </w:r>
    </w:p>
    <w:p w:rsidR="0001119E" w:rsidRDefault="0001119E" w:rsidP="0001119E">
      <w:r w:rsidRPr="00A14790">
        <w:t xml:space="preserve">Pink, Sarah. 2001. </w:t>
      </w:r>
      <w:r w:rsidRPr="00A14790">
        <w:rPr>
          <w:i/>
          <w:iCs/>
        </w:rPr>
        <w:t xml:space="preserve">Doing Visual Ethnography: Images, Media and Representation in </w:t>
      </w:r>
    </w:p>
    <w:p w:rsidR="0001119E" w:rsidRPr="0001119E" w:rsidRDefault="0001119E" w:rsidP="0001119E">
      <w:pPr>
        <w:pStyle w:val="a4"/>
        <w:bidi w:val="0"/>
        <w:spacing w:line="360" w:lineRule="auto"/>
        <w:ind w:left="567" w:hanging="567"/>
        <w:jc w:val="both"/>
        <w:rPr>
          <w:rFonts w:cs="Arial"/>
        </w:rPr>
      </w:pPr>
      <w:r w:rsidRPr="0001119E">
        <w:rPr>
          <w:rFonts w:cs="Arial"/>
        </w:rPr>
        <w:t xml:space="preserve">Research. London: Sage Publications. </w:t>
      </w:r>
    </w:p>
    <w:p w:rsidR="0001119E" w:rsidRPr="0001119E" w:rsidRDefault="0001119E" w:rsidP="0001119E">
      <w:pPr>
        <w:pStyle w:val="a4"/>
        <w:bidi w:val="0"/>
        <w:spacing w:line="360" w:lineRule="auto"/>
        <w:ind w:left="567" w:hanging="567"/>
        <w:jc w:val="both"/>
        <w:rPr>
          <w:rFonts w:cs="Arial"/>
          <w:rtl/>
        </w:rPr>
      </w:pPr>
      <w:r w:rsidRPr="00A14790">
        <w:rPr>
          <w:rFonts w:cs="Arial"/>
        </w:rPr>
        <w:t xml:space="preserve">Tilley, Christopher. 2006. "Objectification". In: </w:t>
      </w:r>
      <w:r w:rsidRPr="0001119E">
        <w:rPr>
          <w:rFonts w:cs="Arial"/>
        </w:rPr>
        <w:t>Handbook of Material Culture</w:t>
      </w:r>
      <w:r w:rsidRPr="00A14790">
        <w:rPr>
          <w:rFonts w:cs="Arial"/>
        </w:rPr>
        <w:t xml:space="preserve">. Christopher </w:t>
      </w:r>
    </w:p>
    <w:p w:rsidR="0001119E" w:rsidRPr="0001119E" w:rsidRDefault="0001119E" w:rsidP="0001119E">
      <w:pPr>
        <w:pStyle w:val="a4"/>
        <w:bidi w:val="0"/>
        <w:spacing w:line="360" w:lineRule="auto"/>
        <w:ind w:left="709" w:hanging="709"/>
        <w:jc w:val="both"/>
        <w:rPr>
          <w:rFonts w:cs="Arial"/>
        </w:rPr>
      </w:pPr>
      <w:r w:rsidRPr="00A14790">
        <w:rPr>
          <w:rFonts w:cs="Arial"/>
        </w:rPr>
        <w:t xml:space="preserve">Tilley, Webb Keane, Susanne Küchler, Michael Rowlands and Patricia Spyer (Eds.). Pp. </w:t>
      </w:r>
    </w:p>
    <w:p w:rsidR="0001119E" w:rsidRPr="00A14790" w:rsidRDefault="0001119E" w:rsidP="0001119E">
      <w:pPr>
        <w:pStyle w:val="a4"/>
        <w:bidi w:val="0"/>
        <w:spacing w:line="360" w:lineRule="auto"/>
        <w:ind w:left="709" w:hanging="709"/>
        <w:jc w:val="both"/>
        <w:rPr>
          <w:rFonts w:cs="Arial"/>
        </w:rPr>
      </w:pPr>
      <w:r w:rsidRPr="00A14790">
        <w:rPr>
          <w:rFonts w:cs="Arial"/>
        </w:rPr>
        <w:t xml:space="preserve">60-73. London: Sage Publications. </w:t>
      </w:r>
    </w:p>
    <w:p w:rsidR="003870C3" w:rsidRPr="00A14790" w:rsidRDefault="003870C3" w:rsidP="003870C3">
      <w:pPr>
        <w:pStyle w:val="a4"/>
        <w:bidi w:val="0"/>
        <w:spacing w:line="360" w:lineRule="auto"/>
        <w:ind w:left="567" w:hanging="567"/>
        <w:jc w:val="both"/>
      </w:pPr>
      <w:r w:rsidRPr="00A14790">
        <w:t xml:space="preserve">Woodward, Ian. 2007. </w:t>
      </w:r>
      <w:r w:rsidRPr="00A14790">
        <w:rPr>
          <w:i/>
          <w:iCs/>
        </w:rPr>
        <w:t>Understanding Material Culture</w:t>
      </w:r>
      <w:r w:rsidRPr="00A14790">
        <w:t xml:space="preserve">. London: Sage Publications. </w:t>
      </w:r>
    </w:p>
    <w:p w:rsidR="00722456" w:rsidRPr="00A14790" w:rsidRDefault="00722456" w:rsidP="00722456">
      <w:pPr>
        <w:pStyle w:val="a5"/>
        <w:bidi w:val="0"/>
        <w:spacing w:line="360" w:lineRule="auto"/>
        <w:ind w:left="567" w:hanging="567"/>
        <w:jc w:val="both"/>
        <w:rPr>
          <w:sz w:val="22"/>
          <w:szCs w:val="22"/>
        </w:rPr>
      </w:pPr>
    </w:p>
    <w:p w:rsidR="00AA7F7B" w:rsidRDefault="00AA7F7B" w:rsidP="00F96E9D">
      <w:pPr>
        <w:pStyle w:val="a4"/>
        <w:bidi w:val="0"/>
        <w:spacing w:line="360" w:lineRule="auto"/>
        <w:ind w:left="567" w:hanging="567"/>
        <w:jc w:val="both"/>
        <w:rPr>
          <w:rtl/>
        </w:rPr>
      </w:pPr>
      <w:r>
        <w:rPr>
          <w:rFonts w:hint="cs"/>
          <w:rtl/>
        </w:rPr>
        <w:t>חפצים מהקבר של תות:</w:t>
      </w:r>
    </w:p>
    <w:p w:rsidR="00F96E9D" w:rsidRDefault="00322343" w:rsidP="00AA7F7B">
      <w:pPr>
        <w:pStyle w:val="a4"/>
        <w:bidi w:val="0"/>
        <w:spacing w:line="360" w:lineRule="auto"/>
        <w:ind w:left="567" w:hanging="567"/>
        <w:jc w:val="both"/>
      </w:pPr>
      <w:hyperlink r:id="rId7" w:history="1">
        <w:r w:rsidR="00AA7F7B" w:rsidRPr="00980993">
          <w:rPr>
            <w:rStyle w:val="Hyperlink"/>
          </w:rPr>
          <w:t>http://www.touregypt.net/featurestories/tut.htm</w:t>
        </w:r>
      </w:hyperlink>
    </w:p>
    <w:p w:rsidR="00AA7F7B" w:rsidRPr="00F96E9D" w:rsidRDefault="00AA7F7B" w:rsidP="00AA7F7B">
      <w:pPr>
        <w:pStyle w:val="a4"/>
        <w:bidi w:val="0"/>
        <w:spacing w:line="360" w:lineRule="auto"/>
        <w:ind w:left="567" w:hanging="567"/>
        <w:jc w:val="both"/>
        <w:rPr>
          <w:rtl/>
        </w:rPr>
      </w:pPr>
      <w:r>
        <w:rPr>
          <w:rFonts w:hint="cs"/>
          <w:rtl/>
        </w:rPr>
        <w:t>חפצים מפומפי</w:t>
      </w:r>
    </w:p>
    <w:p w:rsidR="00F96E9D" w:rsidRDefault="00322343" w:rsidP="00F96E9D">
      <w:pPr>
        <w:pStyle w:val="a4"/>
        <w:bidi w:val="0"/>
        <w:spacing w:line="360" w:lineRule="auto"/>
        <w:ind w:left="567" w:hanging="567"/>
        <w:jc w:val="both"/>
      </w:pPr>
      <w:hyperlink r:id="rId8" w:history="1">
        <w:r w:rsidR="00AA7F7B" w:rsidRPr="00980993">
          <w:rPr>
            <w:rStyle w:val="Hyperlink"/>
          </w:rPr>
          <w:t>http://museum.wa.gov.au/pompeii/objects</w:t>
        </w:r>
      </w:hyperlink>
    </w:p>
    <w:p w:rsidR="00AA7F7B" w:rsidRPr="00F96E9D" w:rsidRDefault="00AA7F7B" w:rsidP="00AA7F7B">
      <w:pPr>
        <w:pStyle w:val="a4"/>
        <w:bidi w:val="0"/>
        <w:spacing w:line="360" w:lineRule="auto"/>
        <w:ind w:left="567" w:hanging="567"/>
        <w:jc w:val="both"/>
      </w:pPr>
    </w:p>
    <w:p w:rsidR="00AA7F7B" w:rsidRDefault="00322343" w:rsidP="00AA7F7B">
      <w:pPr>
        <w:pStyle w:val="a4"/>
        <w:bidi w:val="0"/>
        <w:spacing w:line="360" w:lineRule="auto"/>
        <w:ind w:left="567" w:hanging="567"/>
      </w:pPr>
      <w:hyperlink r:id="rId9" w:history="1">
        <w:r w:rsidR="00AA7F7B" w:rsidRPr="00980993">
          <w:rPr>
            <w:rStyle w:val="Hyperlink"/>
          </w:rPr>
          <w:t>http://www.britishmuseum.org/whats_on/exhibitions/pompeii_and_herculaneum/highlight</w:t>
        </w:r>
      </w:hyperlink>
    </w:p>
    <w:p w:rsidR="00F96E9D" w:rsidRDefault="00AA7F7B" w:rsidP="00AA7F7B">
      <w:pPr>
        <w:pStyle w:val="a4"/>
        <w:bidi w:val="0"/>
        <w:spacing w:line="360" w:lineRule="auto"/>
        <w:ind w:left="567" w:hanging="567"/>
      </w:pPr>
      <w:r w:rsidRPr="00AA7F7B">
        <w:t>_objects.aspx#3</w:t>
      </w:r>
    </w:p>
    <w:p w:rsidR="00AA7F7B" w:rsidRDefault="00322343" w:rsidP="00AA7F7B">
      <w:pPr>
        <w:pStyle w:val="a4"/>
        <w:bidi w:val="0"/>
        <w:spacing w:line="360" w:lineRule="auto"/>
        <w:ind w:left="567" w:hanging="567"/>
      </w:pPr>
      <w:hyperlink r:id="rId10" w:history="1">
        <w:r w:rsidR="00E05EDC" w:rsidRPr="00980993">
          <w:rPr>
            <w:rStyle w:val="Hyperlink"/>
          </w:rPr>
          <w:t>http://museumvictoria.com.au/pages/9092/jtp-signature_objects_notes.pdf</w:t>
        </w:r>
      </w:hyperlink>
    </w:p>
    <w:p w:rsidR="00E05EDC" w:rsidRDefault="00322343" w:rsidP="00E05EDC">
      <w:pPr>
        <w:pStyle w:val="a4"/>
        <w:bidi w:val="0"/>
        <w:spacing w:line="360" w:lineRule="auto"/>
        <w:ind w:left="567" w:hanging="567"/>
      </w:pPr>
      <w:hyperlink r:id="rId11" w:history="1">
        <w:r w:rsidR="00E05EDC" w:rsidRPr="00980993">
          <w:rPr>
            <w:rStyle w:val="Hyperlink"/>
          </w:rPr>
          <w:t>https://artserve.anu.edu.au/htdocs/bycountry/italy/pompeii.objects/</w:t>
        </w:r>
      </w:hyperlink>
    </w:p>
    <w:p w:rsidR="00E05EDC" w:rsidRDefault="00E05EDC" w:rsidP="00E05EDC">
      <w:pPr>
        <w:pStyle w:val="a4"/>
        <w:bidi w:val="0"/>
        <w:spacing w:line="360" w:lineRule="auto"/>
        <w:ind w:left="567" w:hanging="567"/>
      </w:pPr>
    </w:p>
    <w:p w:rsidR="00AA7F7B" w:rsidRPr="00A14790" w:rsidRDefault="00AA7F7B" w:rsidP="00AA7F7B">
      <w:pPr>
        <w:pStyle w:val="a4"/>
        <w:bidi w:val="0"/>
        <w:spacing w:line="360" w:lineRule="auto"/>
        <w:ind w:left="567" w:hanging="567"/>
      </w:pPr>
    </w:p>
    <w:p w:rsidR="009E50BC" w:rsidRPr="006E7CD3" w:rsidRDefault="009E50BC" w:rsidP="00AA7F7B">
      <w:pPr>
        <w:pStyle w:val="a4"/>
        <w:bidi w:val="0"/>
        <w:spacing w:line="360" w:lineRule="auto"/>
        <w:rPr>
          <w:rtl/>
        </w:rPr>
      </w:pPr>
    </w:p>
    <w:p w:rsidR="00313521" w:rsidRDefault="00313521" w:rsidP="00AA7F7B">
      <w:pPr>
        <w:pStyle w:val="a4"/>
        <w:bidi w:val="0"/>
        <w:spacing w:line="360" w:lineRule="auto"/>
      </w:pPr>
    </w:p>
    <w:p w:rsidR="00313521" w:rsidRDefault="00313521" w:rsidP="006E7CD3">
      <w:pPr>
        <w:pStyle w:val="a4"/>
        <w:spacing w:line="360" w:lineRule="auto"/>
        <w:jc w:val="both"/>
        <w:rPr>
          <w:rtl/>
        </w:rPr>
      </w:pPr>
    </w:p>
    <w:p w:rsidR="00313521" w:rsidRDefault="00313521" w:rsidP="006E7CD3">
      <w:pPr>
        <w:pStyle w:val="a4"/>
        <w:spacing w:line="360" w:lineRule="auto"/>
        <w:jc w:val="both"/>
      </w:pPr>
    </w:p>
    <w:p w:rsidR="009E50BC" w:rsidRDefault="009E50BC" w:rsidP="006E7CD3">
      <w:pPr>
        <w:pStyle w:val="a4"/>
        <w:spacing w:line="360" w:lineRule="auto"/>
        <w:jc w:val="both"/>
      </w:pPr>
    </w:p>
    <w:sectPr w:rsidR="009E50BC" w:rsidSect="006A2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43" w:rsidRDefault="00322343" w:rsidP="008B645C">
      <w:pPr>
        <w:spacing w:after="0" w:line="240" w:lineRule="auto"/>
      </w:pPr>
      <w:r>
        <w:separator/>
      </w:r>
    </w:p>
  </w:endnote>
  <w:endnote w:type="continuationSeparator" w:id="0">
    <w:p w:rsidR="00322343" w:rsidRDefault="00322343" w:rsidP="008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C" w:rsidRDefault="008B64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6022244"/>
      <w:docPartObj>
        <w:docPartGallery w:val="Page Numbers (Bottom of Page)"/>
        <w:docPartUnique/>
      </w:docPartObj>
    </w:sdtPr>
    <w:sdtEndPr/>
    <w:sdtContent>
      <w:p w:rsidR="008B645C" w:rsidRDefault="00C6438A">
        <w:pPr>
          <w:pStyle w:val="a9"/>
          <w:jc w:val="center"/>
        </w:pPr>
        <w:r>
          <w:fldChar w:fldCharType="begin"/>
        </w:r>
        <w:r w:rsidR="008B645C">
          <w:instrText xml:space="preserve"> PAGE   \* MERGEFORMAT </w:instrText>
        </w:r>
        <w:r>
          <w:fldChar w:fldCharType="separate"/>
        </w:r>
        <w:r w:rsidR="00F15A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645C" w:rsidRDefault="008B64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C" w:rsidRDefault="008B64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43" w:rsidRDefault="00322343" w:rsidP="008B645C">
      <w:pPr>
        <w:spacing w:after="0" w:line="240" w:lineRule="auto"/>
      </w:pPr>
      <w:r>
        <w:separator/>
      </w:r>
    </w:p>
  </w:footnote>
  <w:footnote w:type="continuationSeparator" w:id="0">
    <w:p w:rsidR="00322343" w:rsidRDefault="00322343" w:rsidP="008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C" w:rsidRDefault="008B64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C" w:rsidRDefault="008B64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C" w:rsidRDefault="008B64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D5E"/>
    <w:multiLevelType w:val="multilevel"/>
    <w:tmpl w:val="87EC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29740A"/>
    <w:multiLevelType w:val="hybridMultilevel"/>
    <w:tmpl w:val="91585888"/>
    <w:lvl w:ilvl="0" w:tplc="BE5447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850"/>
    <w:multiLevelType w:val="hybridMultilevel"/>
    <w:tmpl w:val="0930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3FB"/>
    <w:multiLevelType w:val="hybridMultilevel"/>
    <w:tmpl w:val="0A40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70BCF"/>
    <w:multiLevelType w:val="hybridMultilevel"/>
    <w:tmpl w:val="8E8E6DA8"/>
    <w:lvl w:ilvl="0" w:tplc="A766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4308"/>
    <w:multiLevelType w:val="hybridMultilevel"/>
    <w:tmpl w:val="06BE0844"/>
    <w:lvl w:ilvl="0" w:tplc="C5D040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41C59"/>
    <w:multiLevelType w:val="hybridMultilevel"/>
    <w:tmpl w:val="C2E8F306"/>
    <w:lvl w:ilvl="0" w:tplc="66184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B69"/>
    <w:multiLevelType w:val="hybridMultilevel"/>
    <w:tmpl w:val="8FECF656"/>
    <w:lvl w:ilvl="0" w:tplc="B91A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322E"/>
    <w:multiLevelType w:val="hybridMultilevel"/>
    <w:tmpl w:val="9A56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852"/>
    <w:rsid w:val="0001119E"/>
    <w:rsid w:val="00036DAE"/>
    <w:rsid w:val="0004434E"/>
    <w:rsid w:val="00053B09"/>
    <w:rsid w:val="000B203B"/>
    <w:rsid w:val="000B4967"/>
    <w:rsid w:val="000C6802"/>
    <w:rsid w:val="000D7384"/>
    <w:rsid w:val="00113410"/>
    <w:rsid w:val="00132ED3"/>
    <w:rsid w:val="001B1941"/>
    <w:rsid w:val="001D4E9D"/>
    <w:rsid w:val="001E12C8"/>
    <w:rsid w:val="001F621D"/>
    <w:rsid w:val="0020027E"/>
    <w:rsid w:val="00225503"/>
    <w:rsid w:val="00255456"/>
    <w:rsid w:val="0029180C"/>
    <w:rsid w:val="002B7925"/>
    <w:rsid w:val="00313521"/>
    <w:rsid w:val="003146E6"/>
    <w:rsid w:val="00315FBC"/>
    <w:rsid w:val="00322343"/>
    <w:rsid w:val="00367FE1"/>
    <w:rsid w:val="003870C3"/>
    <w:rsid w:val="00392109"/>
    <w:rsid w:val="003A3BD2"/>
    <w:rsid w:val="00417A81"/>
    <w:rsid w:val="00441922"/>
    <w:rsid w:val="00446FB0"/>
    <w:rsid w:val="00461311"/>
    <w:rsid w:val="004B7E4B"/>
    <w:rsid w:val="004C396F"/>
    <w:rsid w:val="004E6BD3"/>
    <w:rsid w:val="00506AB8"/>
    <w:rsid w:val="00526263"/>
    <w:rsid w:val="005761A5"/>
    <w:rsid w:val="00580469"/>
    <w:rsid w:val="00591BB5"/>
    <w:rsid w:val="005C0DAA"/>
    <w:rsid w:val="006324A8"/>
    <w:rsid w:val="00680D74"/>
    <w:rsid w:val="006A2C8D"/>
    <w:rsid w:val="006C296B"/>
    <w:rsid w:val="006E7CD3"/>
    <w:rsid w:val="00722456"/>
    <w:rsid w:val="007A6166"/>
    <w:rsid w:val="007A702B"/>
    <w:rsid w:val="007B7914"/>
    <w:rsid w:val="007E48F8"/>
    <w:rsid w:val="007F694B"/>
    <w:rsid w:val="00804013"/>
    <w:rsid w:val="0081287B"/>
    <w:rsid w:val="00863D57"/>
    <w:rsid w:val="00897AFE"/>
    <w:rsid w:val="008B386F"/>
    <w:rsid w:val="008B645C"/>
    <w:rsid w:val="008C051C"/>
    <w:rsid w:val="00914DFD"/>
    <w:rsid w:val="00935489"/>
    <w:rsid w:val="0099188B"/>
    <w:rsid w:val="009C3D9C"/>
    <w:rsid w:val="009E20B6"/>
    <w:rsid w:val="009E50BC"/>
    <w:rsid w:val="009F0F61"/>
    <w:rsid w:val="00A1738A"/>
    <w:rsid w:val="00A23786"/>
    <w:rsid w:val="00A53363"/>
    <w:rsid w:val="00A54AC5"/>
    <w:rsid w:val="00AA7F7B"/>
    <w:rsid w:val="00AD397B"/>
    <w:rsid w:val="00B609CB"/>
    <w:rsid w:val="00B61E56"/>
    <w:rsid w:val="00B74264"/>
    <w:rsid w:val="00B80918"/>
    <w:rsid w:val="00BF2A92"/>
    <w:rsid w:val="00C224E5"/>
    <w:rsid w:val="00C4509E"/>
    <w:rsid w:val="00C6438A"/>
    <w:rsid w:val="00C82AC1"/>
    <w:rsid w:val="00D224C3"/>
    <w:rsid w:val="00D93E6C"/>
    <w:rsid w:val="00DB0BE5"/>
    <w:rsid w:val="00E05EDC"/>
    <w:rsid w:val="00E4736A"/>
    <w:rsid w:val="00E91932"/>
    <w:rsid w:val="00EF1FBF"/>
    <w:rsid w:val="00F15AB8"/>
    <w:rsid w:val="00F477B0"/>
    <w:rsid w:val="00F75C5C"/>
    <w:rsid w:val="00F87D5A"/>
    <w:rsid w:val="00F96E9D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D47C4-7186-46D9-BAB5-8969C510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81"/>
    <w:pPr>
      <w:ind w:left="720"/>
      <w:contextualSpacing/>
    </w:pPr>
  </w:style>
  <w:style w:type="paragraph" w:styleId="a4">
    <w:name w:val="No Spacing"/>
    <w:uiPriority w:val="1"/>
    <w:qFormat/>
    <w:rsid w:val="006E7CD3"/>
    <w:pPr>
      <w:bidi/>
      <w:spacing w:after="0" w:line="240" w:lineRule="auto"/>
    </w:pPr>
  </w:style>
  <w:style w:type="character" w:customStyle="1" w:styleId="f61">
    <w:name w:val="f61"/>
    <w:basedOn w:val="a0"/>
    <w:rsid w:val="00F96E9D"/>
    <w:rPr>
      <w:rFonts w:ascii="Times New Roman" w:hAnsi="Times New Roman" w:cs="Times New Roman" w:hint="default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6E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rsid w:val="00F96E9D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B6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B645C"/>
  </w:style>
  <w:style w:type="paragraph" w:styleId="a9">
    <w:name w:val="footer"/>
    <w:basedOn w:val="a"/>
    <w:link w:val="aa"/>
    <w:uiPriority w:val="99"/>
    <w:unhideWhenUsed/>
    <w:rsid w:val="008B6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B645C"/>
  </w:style>
  <w:style w:type="character" w:styleId="Hyperlink">
    <w:name w:val="Hyperlink"/>
    <w:basedOn w:val="a0"/>
    <w:uiPriority w:val="99"/>
    <w:unhideWhenUsed/>
    <w:rsid w:val="00AA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wa.gov.au/pompeii/objec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egypt.net/featurestories/tut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serve.anu.edu.au/htdocs/bycountry/italy/pompeii.objec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useumvictoria.com.au/pages/9092/jtp-signature_objects_not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tishmuseum.org/whats_on/exhibitions/pompeii_and_herculaneum/highligh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1455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דני עמיר</dc:creator>
  <cp:lastModifiedBy>יונתן ונטורה</cp:lastModifiedBy>
  <cp:revision>6</cp:revision>
  <cp:lastPrinted>2013-07-01T04:48:00Z</cp:lastPrinted>
  <dcterms:created xsi:type="dcterms:W3CDTF">2013-07-01T05:52:00Z</dcterms:created>
  <dcterms:modified xsi:type="dcterms:W3CDTF">2013-08-13T10:45:00Z</dcterms:modified>
</cp:coreProperties>
</file>