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bidi w:val="1"/>
        <w:jc w:val="right"/>
      </w:pPr>
      <w:r w:rsidRPr="00000000" w:rsidR="00000000" w:rsidDel="00000000">
        <w:drawing>
          <wp:inline>
            <wp:extent cy="1171346" cx="2962656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171346" cx="2962656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פרו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ס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קולנוע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דיגיטלי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Pro-Seminar: Digital Cinema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rtl w:val="1"/>
        </w:rPr>
        <w:t xml:space="preserve">מרצה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ד</w:t>
      </w:r>
      <w:r w:rsidRPr="00000000" w:rsidR="00000000" w:rsidDel="00000000">
        <w:rPr>
          <w:rFonts w:cs="Arial" w:hAnsi="Arial" w:eastAsia="Arial" w:ascii="Arial"/>
          <w:rtl w:val="1"/>
        </w:rPr>
        <w:t xml:space="preserve">”</w:t>
      </w:r>
      <w:r w:rsidRPr="00000000" w:rsidR="00000000" w:rsidDel="00000000">
        <w:rPr>
          <w:rFonts w:cs="Arial" w:hAnsi="Arial" w:eastAsia="Arial" w:ascii="Arial"/>
          <w:rtl w:val="1"/>
        </w:rPr>
        <w:t xml:space="preserve">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אוהד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לנדסמן</w:t>
      </w:r>
    </w:p>
    <w:p w:rsidP="00000000" w:rsidRPr="00000000" w:rsidR="00000000" w:rsidDel="00000000" w:rsidRDefault="00000000">
      <w:pPr>
        <w:bidi w:val="1"/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landesman@post.bezalel.ac.il</w:t>
      </w:r>
    </w:p>
    <w:p w:rsidP="00000000" w:rsidRPr="00000000" w:rsidR="00000000" w:rsidDel="00000000" w:rsidRDefault="00000000">
      <w:pPr>
        <w:spacing w:lineRule="auto" w:line="276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jc w:val="left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סוג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פרו</w:t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ס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היקף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שנתי</w:t>
      </w:r>
      <w:r w:rsidRPr="00000000" w:rsidR="00000000" w:rsidDel="00000000">
        <w:rPr>
          <w:rFonts w:cs="Arial" w:hAnsi="Arial" w:eastAsia="Arial" w:ascii="Arial"/>
          <w:rtl w:val="1"/>
        </w:rPr>
        <w:t xml:space="preserve">: 4 </w:t>
      </w:r>
      <w:r w:rsidRPr="00000000" w:rsidR="00000000" w:rsidDel="00000000">
        <w:rPr>
          <w:rFonts w:cs="Arial" w:hAnsi="Arial" w:eastAsia="Arial" w:ascii="Arial"/>
          <w:rtl w:val="1"/>
        </w:rPr>
        <w:t xml:space="preserve">נ</w:t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ז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יום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ושעה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סמסטר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</w:t>
      </w:r>
      <w:r w:rsidRPr="00000000" w:rsidR="00000000" w:rsidDel="00000000">
        <w:rPr>
          <w:rFonts w:cs="Arial" w:hAnsi="Arial" w:eastAsia="Arial" w:ascii="Arial"/>
          <w:rtl w:val="1"/>
        </w:rPr>
        <w:t xml:space="preserve">' </w:t>
      </w:r>
      <w:r w:rsidRPr="00000000" w:rsidR="00000000" w:rsidDel="00000000">
        <w:rPr>
          <w:rFonts w:cs="Arial" w:hAnsi="Arial" w:eastAsia="Arial" w:ascii="Arial"/>
          <w:rtl w:val="1"/>
        </w:rPr>
        <w:t xml:space="preserve">תשע</w:t>
      </w:r>
      <w:r w:rsidRPr="00000000" w:rsidR="00000000" w:rsidDel="00000000">
        <w:rPr>
          <w:rFonts w:cs="Arial" w:hAnsi="Arial" w:eastAsia="Arial" w:ascii="Arial"/>
          <w:rtl w:val="1"/>
        </w:rPr>
        <w:t xml:space="preserve">”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יום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</w:t>
      </w:r>
      <w:r w:rsidRPr="00000000" w:rsidR="00000000" w:rsidDel="00000000">
        <w:rPr>
          <w:rFonts w:cs="Arial" w:hAnsi="Arial" w:eastAsia="Arial" w:ascii="Arial"/>
          <w:rtl w:val="1"/>
        </w:rPr>
        <w:t xml:space="preserve">', 10:30-12:00</w:t>
      </w:r>
    </w:p>
    <w:p w:rsidP="00000000" w:rsidRPr="00000000" w:rsidR="00000000" w:rsidDel="00000000" w:rsidRDefault="00000000">
      <w:pPr>
        <w:bidi w:val="1"/>
        <w:spacing w:lineRule="auto" w:line="276"/>
        <w:ind w:left="720" w:firstLine="0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     </w:t>
      </w:r>
      <w:r w:rsidRPr="00000000" w:rsidR="00000000" w:rsidDel="00000000">
        <w:rPr>
          <w:rFonts w:cs="Arial" w:hAnsi="Arial" w:eastAsia="Arial" w:ascii="Arial"/>
          <w:rtl w:val="1"/>
        </w:rPr>
        <w:t xml:space="preserve">סמסטר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</w:t>
      </w:r>
      <w:r w:rsidRPr="00000000" w:rsidR="00000000" w:rsidDel="00000000">
        <w:rPr>
          <w:rFonts w:cs="Arial" w:hAnsi="Arial" w:eastAsia="Arial" w:ascii="Arial"/>
          <w:rtl w:val="1"/>
        </w:rPr>
        <w:t xml:space="preserve">' </w:t>
      </w:r>
      <w:r w:rsidRPr="00000000" w:rsidR="00000000" w:rsidDel="00000000">
        <w:rPr>
          <w:rFonts w:cs="Arial" w:hAnsi="Arial" w:eastAsia="Arial" w:ascii="Arial"/>
          <w:rtl w:val="1"/>
        </w:rPr>
        <w:t xml:space="preserve">תשע</w:t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יום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</w:t>
      </w:r>
      <w:r w:rsidRPr="00000000" w:rsidR="00000000" w:rsidDel="00000000">
        <w:rPr>
          <w:rFonts w:cs="Arial" w:hAnsi="Arial" w:eastAsia="Arial" w:ascii="Arial"/>
          <w:rtl w:val="1"/>
        </w:rPr>
        <w:t xml:space="preserve">', 10:30-12:00</w:t>
      </w:r>
    </w:p>
    <w:p w:rsidP="00000000" w:rsidRPr="00000000" w:rsidR="00000000" w:rsidDel="00000000" w:rsidRDefault="00000000">
      <w:pPr>
        <w:spacing w:lineRule="auto" w:line="276"/>
        <w:jc w:val="right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קורס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מתוקשב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כן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תיאור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פרו</w:t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זה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יעסוק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בהשפעתן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טכנולוגיות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דיגיטליות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התיאוריה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והאסתטיקה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העכשווי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ויבחן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דרכים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חדשות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להרחבת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הגדרתו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המדיום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בעידן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הדיגיטלי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בחלק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הראשון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נדון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בסוגיות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תיאורטיות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כגון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ההבדלים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הדימוי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הדיגיטלי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הדימוי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הפילמאי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טבעם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ומקורם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החזונות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האפוקליפטיים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והדיסטופיים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בדבר</w:t>
      </w:r>
      <w:r w:rsidRPr="00000000" w:rsidR="00000000" w:rsidDel="00000000">
        <w:rPr>
          <w:rFonts w:cs="Arial" w:hAnsi="Arial" w:eastAsia="Arial" w:ascii="Arial"/>
          <w:rtl w:val="1"/>
        </w:rPr>
        <w:t xml:space="preserve"> "</w:t>
      </w:r>
      <w:r w:rsidRPr="00000000" w:rsidR="00000000" w:rsidDel="00000000">
        <w:rPr>
          <w:rFonts w:cs="Arial" w:hAnsi="Arial" w:eastAsia="Arial" w:ascii="Arial"/>
          <w:rtl w:val="1"/>
        </w:rPr>
        <w:t xml:space="preserve">מותו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",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והצורך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לבחון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החדש</w:t>
      </w:r>
      <w:r w:rsidRPr="00000000" w:rsidR="00000000" w:rsidDel="00000000">
        <w:rPr>
          <w:rFonts w:cs="Arial" w:hAnsi="Arial" w:eastAsia="Arial" w:ascii="Arial"/>
          <w:rtl w:val="1"/>
        </w:rPr>
        <w:t xml:space="preserve">"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מול</w:t>
      </w:r>
      <w:r w:rsidRPr="00000000" w:rsidR="00000000" w:rsidDel="00000000">
        <w:rPr>
          <w:rFonts w:cs="Arial" w:hAnsi="Arial" w:eastAsia="Arial" w:ascii="Arial"/>
          <w:rtl w:val="1"/>
        </w:rPr>
        <w:t xml:space="preserve">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הישן</w:t>
      </w:r>
      <w:r w:rsidRPr="00000000" w:rsidR="00000000" w:rsidDel="00000000">
        <w:rPr>
          <w:rFonts w:cs="Arial" w:hAnsi="Arial" w:eastAsia="Arial" w:ascii="Arial"/>
          <w:rtl w:val="1"/>
        </w:rPr>
        <w:t xml:space="preserve">".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בחלק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השני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נתמקד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בהשלכות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השונות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מיזעור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והתניידות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המצלמה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rtl w:val="1"/>
        </w:rPr>
        <w:t xml:space="preserve">וידאו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דיגיטלי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והיי</w:t>
      </w:r>
      <w:r w:rsidRPr="00000000" w:rsidR="00000000" w:rsidDel="00000000">
        <w:rPr>
          <w:rFonts w:cs="Arial" w:hAnsi="Arial" w:eastAsia="Arial" w:ascii="Arial"/>
          <w:rtl w:val="1"/>
        </w:rPr>
        <w:t xml:space="preserve">-</w:t>
      </w:r>
      <w:r w:rsidRPr="00000000" w:rsidR="00000000" w:rsidDel="00000000">
        <w:rPr>
          <w:rFonts w:cs="Arial" w:hAnsi="Arial" w:eastAsia="Arial" w:ascii="Arial"/>
          <w:rtl w:val="1"/>
        </w:rPr>
        <w:t xml:space="preserve">דפינישן</w:t>
      </w:r>
      <w:r w:rsidRPr="00000000" w:rsidR="00000000" w:rsidDel="00000000">
        <w:rPr>
          <w:rFonts w:cs="Arial" w:hAnsi="Arial" w:eastAsia="Arial" w:ascii="Arial"/>
          <w:rtl w:val="1"/>
        </w:rPr>
        <w:t xml:space="preserve">) </w:t>
      </w:r>
      <w:r w:rsidRPr="00000000" w:rsidR="00000000" w:rsidDel="00000000">
        <w:rPr>
          <w:rFonts w:cs="Arial" w:hAnsi="Arial" w:eastAsia="Arial" w:ascii="Arial"/>
          <w:rtl w:val="1"/>
        </w:rPr>
        <w:t xml:space="preserve">ונבחן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יוצרי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העצמאי</w:t>
      </w:r>
      <w:r w:rsidRPr="00000000" w:rsidR="00000000" w:rsidDel="00000000">
        <w:rPr>
          <w:rFonts w:cs="Arial" w:hAnsi="Arial" w:eastAsia="Arial" w:ascii="Arial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לינץ</w:t>
      </w:r>
      <w:r w:rsidRPr="00000000" w:rsidR="00000000" w:rsidDel="00000000">
        <w:rPr>
          <w:rFonts w:cs="Arial" w:hAnsi="Arial" w:eastAsia="Arial" w:ascii="Arial"/>
          <w:rtl w:val="1"/>
        </w:rPr>
        <w:t xml:space="preserve">', </w:t>
      </w:r>
      <w:r w:rsidRPr="00000000" w:rsidR="00000000" w:rsidDel="00000000">
        <w:rPr>
          <w:rFonts w:cs="Arial" w:hAnsi="Arial" w:eastAsia="Arial" w:ascii="Arial"/>
          <w:rtl w:val="1"/>
        </w:rPr>
        <w:t xml:space="preserve">סודרברג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פון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טרייר</w:t>
      </w:r>
      <w:r w:rsidRPr="00000000" w:rsidR="00000000" w:rsidDel="00000000">
        <w:rPr>
          <w:rFonts w:cs="Arial" w:hAnsi="Arial" w:eastAsia="Arial" w:ascii="Arial"/>
          <w:rtl w:val="1"/>
        </w:rPr>
        <w:t xml:space="preserve">) </w:t>
      </w:r>
      <w:r w:rsidRPr="00000000" w:rsidR="00000000" w:rsidDel="00000000">
        <w:rPr>
          <w:rFonts w:cs="Arial" w:hAnsi="Arial" w:eastAsia="Arial" w:ascii="Arial"/>
          <w:rtl w:val="1"/>
        </w:rPr>
        <w:t xml:space="preserve">מפיקים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המיטב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מהאפשרויות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הטכנולוגיות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החדשות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בחלק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השלישי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נבחן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משתנות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מתחדשות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אסטרטגיות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בעידן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הדיגיטלי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ונדון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בפרקטיקות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תיעודיות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דומיננטיות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כגון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ההתקרבות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והאינטימיות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המחודשת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הסובייקט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ההכלאה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בדיון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למציאות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האינטראקטיבי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והאנימציה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התיעודית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בחלק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הרביעי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והאחרון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ננסה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להעריך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תרומתן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הטכנולוגיות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הדיגיטליות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ההוליוודי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המסחרי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ידי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ביקורתי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בתופעות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מתחדשות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כגון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</w:t>
      </w:r>
      <w:r w:rsidRPr="00000000" w:rsidR="00000000" w:rsidDel="00000000">
        <w:rPr>
          <w:rFonts w:cs="Arial" w:hAnsi="Arial" w:eastAsia="Arial" w:ascii="Arial"/>
          <w:rtl w:val="1"/>
        </w:rPr>
        <w:t xml:space="preserve">- </w:t>
      </w:r>
      <w:r w:rsidRPr="00000000" w:rsidR="00000000" w:rsidDel="00000000">
        <w:rPr>
          <w:rFonts w:cs="Arial" w:hAnsi="Arial" w:eastAsia="Arial" w:ascii="Arial"/>
          <w:rtl w:val="0"/>
        </w:rPr>
        <w:t xml:space="preserve">CGI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והתלת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מימד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נושאי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  <w:ind w:firstLine="54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חלק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ראשון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היבטים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תיאורטיים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שינויים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טכנולוגיים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בקולנוע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  <w:ind w:firstLine="54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  <w:jc w:val="both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ראשון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בחזרה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לעתיד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-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ולאן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הוא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הולך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?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מצלמה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דייויד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קרוננברג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2000)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“</w:t>
      </w:r>
      <w:r w:rsidRPr="00000000" w:rsidR="00000000" w:rsidDel="00000000">
        <w:rPr>
          <w:rFonts w:cs="Arial" w:hAnsi="Arial" w:eastAsia="Arial" w:ascii="Arial"/>
          <w:rtl w:val="1"/>
        </w:rPr>
        <w:t xml:space="preserve">השבח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לאהבה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ז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אן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לוק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גודאר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2003),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חסין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מוות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קוונטין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טרנטינו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2007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  <w:ind w:firstLine="5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שני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הדימוי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הפילמאי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מול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הדימוי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הדיגיטלי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לאיפה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נעלם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האינדקס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?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לחלום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בהקיץ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ריצ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רד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לינקלייטר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2001, 99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פארק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היורה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סטיבן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ספילברג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1993),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המטריקס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האחים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וואחובסקי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1999)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שלישי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חזונות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אוטופיים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ודיסטופיים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טכנולוגיות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חדשות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זו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זו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כריסטופר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קנילי</w:t>
      </w:r>
      <w:r w:rsidRPr="00000000" w:rsidR="00000000" w:rsidDel="00000000">
        <w:rPr>
          <w:rFonts w:cs="Arial" w:hAnsi="Arial" w:eastAsia="Arial" w:ascii="Arial"/>
          <w:rtl w:val="1"/>
        </w:rPr>
        <w:t xml:space="preserve">, 2012, 99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עשר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10" (</w:t>
      </w:r>
      <w:r w:rsidRPr="00000000" w:rsidR="00000000" w:rsidDel="00000000">
        <w:rPr>
          <w:rFonts w:cs="Arial" w:hAnsi="Arial" w:eastAsia="Arial" w:ascii="Arial"/>
          <w:rtl w:val="1"/>
        </w:rPr>
        <w:t xml:space="preserve">עבאס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קיארוסטמי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2002)</w:t>
      </w:r>
    </w:p>
    <w:p w:rsidP="00000000" w:rsidRPr="00000000" w:rsidR="00000000" w:rsidDel="00000000" w:rsidRDefault="00000000">
      <w:pPr>
        <w:spacing w:lineRule="auto" w:line="276"/>
        <w:ind w:firstLine="5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חלק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שני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מיזעור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והתניידות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המצלמה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הקולנועית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השלכות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אסתטיות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וידאו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דיגיטלי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והיי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דפינישן</w:t>
      </w:r>
    </w:p>
    <w:p w:rsidP="00000000" w:rsidRPr="00000000" w:rsidR="00000000" w:rsidDel="00000000" w:rsidRDefault="00000000">
      <w:pPr>
        <w:spacing w:lineRule="auto" w:line="276"/>
        <w:ind w:firstLine="5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רביעי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לקראת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אסתטיקה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דיגיטלית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חדשה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בקולנוע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העצמאי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אינלנד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אמפייר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דייויד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לינץ</w:t>
      </w:r>
      <w:r w:rsidRPr="00000000" w:rsidR="00000000" w:rsidDel="00000000">
        <w:rPr>
          <w:rFonts w:cs="Arial" w:hAnsi="Arial" w:eastAsia="Arial" w:ascii="Arial"/>
          <w:rtl w:val="1"/>
        </w:rPr>
        <w:t xml:space="preserve">', 2006),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עירום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מלא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דייויד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סודרברג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2002),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צ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אק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ובאק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מיגואל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ארטטה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2000)</w:t>
      </w:r>
    </w:p>
    <w:p w:rsidP="00000000" w:rsidRPr="00000000" w:rsidR="00000000" w:rsidDel="00000000" w:rsidRDefault="00000000">
      <w:pPr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חמישי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דוגמה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95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וההבניה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המלאכותית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אסתטיקת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הריאליזם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החגיגה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תומס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וינטרברג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1998),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האידיוטים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טרייר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1998),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וליין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דונקי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בוי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הארמוני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קורין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1999)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שישי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היברידיות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דיגיטלית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בדיה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לבין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תיעוד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הקרנה</w:t>
      </w:r>
      <w:r w:rsidRPr="00000000" w:rsidR="00000000" w:rsidDel="00000000">
        <w:rPr>
          <w:rFonts w:cs="Arial" w:hAnsi="Arial" w:eastAsia="Arial" w:ascii="Arial"/>
          <w:rtl w:val="1"/>
        </w:rPr>
        <w:t xml:space="preserve">:  "10" (</w:t>
      </w:r>
      <w:r w:rsidRPr="00000000" w:rsidR="00000000" w:rsidDel="00000000">
        <w:rPr>
          <w:rFonts w:cs="Arial" w:hAnsi="Arial" w:eastAsia="Arial" w:ascii="Arial"/>
          <w:rtl w:val="1"/>
        </w:rPr>
        <w:t xml:space="preserve">עבאס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קיארוסטמי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2002)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בחדרה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ואנדה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פדרו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קוסטה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2000),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דשא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מתוק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איליזה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ברבש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ולוסיאן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טיילור</w:t>
      </w:r>
      <w:r w:rsidRPr="00000000" w:rsidR="00000000" w:rsidDel="00000000">
        <w:rPr>
          <w:rFonts w:cs="Arial" w:hAnsi="Arial" w:eastAsia="Arial" w:ascii="Arial"/>
          <w:rtl w:val="1"/>
        </w:rPr>
        <w:t xml:space="preserve">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העולם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הזה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מייקל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ווינטרבוטום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2002).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שביעי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האידאולוגיה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הטייק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הארוך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the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long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take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):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ממוגבלות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הפילם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לאינסופיות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דיגיטלית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חבל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אלפרד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היצ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קוק</w:t>
      </w:r>
      <w:r w:rsidRPr="00000000" w:rsidR="00000000" w:rsidDel="00000000">
        <w:rPr>
          <w:rFonts w:cs="Arial" w:hAnsi="Arial" w:eastAsia="Arial" w:ascii="Arial"/>
          <w:rtl w:val="1"/>
        </w:rPr>
        <w:t xml:space="preserve">, 1948),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בלתי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הפיך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גאספר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נואה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2002),  "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תיבה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רוסית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אלכסנדר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סוקורוב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2002),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הילדים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מחר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אלפונזו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קוארון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2006)</w:t>
      </w:r>
    </w:p>
    <w:p w:rsidP="00000000" w:rsidRPr="00000000" w:rsidR="00000000" w:rsidDel="00000000" w:rsidRDefault="00000000">
      <w:pPr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שמיני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אסתטיקה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חובבנית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ופנומנולוגיה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אימה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פרויקט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המכשפה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מבלייר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דניאל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מיריק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ואדוארדו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סנשז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1999),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קלוברפילד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מאט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ריבס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2008),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פעילות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טבעית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אורן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פלי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2007)</w:t>
      </w:r>
    </w:p>
    <w:p w:rsidP="00000000" w:rsidRPr="00000000" w:rsidR="00000000" w:rsidDel="00000000" w:rsidRDefault="00000000">
      <w:pPr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תשיעי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קירבה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ואינטימיות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דיגיטלית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-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לקראת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אתיקה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חדשה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מתעד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לסובייקט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זידאן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פורטרט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</w:t>
      </w:r>
      <w:r w:rsidRPr="00000000" w:rsidR="00000000" w:rsidDel="00000000">
        <w:rPr>
          <w:rFonts w:cs="Arial" w:hAnsi="Arial" w:eastAsia="Arial" w:ascii="Arial"/>
          <w:rtl w:val="1"/>
        </w:rPr>
        <w:t xml:space="preserve">-21" (</w:t>
      </w:r>
      <w:r w:rsidRPr="00000000" w:rsidR="00000000" w:rsidDel="00000000">
        <w:rPr>
          <w:rFonts w:cs="Arial" w:hAnsi="Arial" w:eastAsia="Arial" w:ascii="Arial"/>
          <w:rtl w:val="1"/>
        </w:rPr>
        <w:t xml:space="preserve">דגלאס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גורדון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2006)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המלקטים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והמלקטות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אנייס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ורדה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2001),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גריזלי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מן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ורנר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הרצוג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2005), "</w:t>
      </w:r>
      <w:r w:rsidRPr="00000000" w:rsidR="00000000" w:rsidDel="00000000">
        <w:rPr>
          <w:rFonts w:cs="Arial" w:hAnsi="Arial" w:eastAsia="Arial" w:ascii="Arial"/>
          <w:rtl w:val="0"/>
        </w:rPr>
        <w:t xml:space="preserve">Z</w:t>
      </w:r>
      <w:r w:rsidRPr="00000000" w:rsidR="00000000" w:rsidDel="00000000">
        <w:rPr>
          <w:rFonts w:cs="Arial" w:hAnsi="Arial" w:eastAsia="Arial" w:ascii="Arial"/>
          <w:rtl w:val="1"/>
        </w:rPr>
        <w:t xml:space="preserve">32"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אבי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מוגרבי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2008)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חלק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שלישי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עשירי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מהפכת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המחשוב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באנימציה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דיגיטלית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והופעתה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פיקסאר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סרטים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קצרים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ומוקדמים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פיקסאר</w:t>
      </w:r>
      <w:r w:rsidRPr="00000000" w:rsidR="00000000" w:rsidDel="00000000">
        <w:rPr>
          <w:rFonts w:cs="Arial" w:hAnsi="Arial" w:eastAsia="Arial" w:ascii="Arial"/>
          <w:rtl w:val="1"/>
        </w:rPr>
        <w:t xml:space="preserve">, "</w:t>
      </w:r>
      <w:r w:rsidRPr="00000000" w:rsidR="00000000" w:rsidDel="00000000">
        <w:rPr>
          <w:rFonts w:cs="Arial" w:hAnsi="Arial" w:eastAsia="Arial" w:ascii="Arial"/>
          <w:rtl w:val="1"/>
        </w:rPr>
        <w:t xml:space="preserve">צעצוע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סיפור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לאסטר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1995)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אחד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עשר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אנימציה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תיעודית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 "</w:t>
      </w:r>
      <w:r w:rsidRPr="00000000" w:rsidR="00000000" w:rsidDel="00000000">
        <w:rPr>
          <w:rFonts w:cs="Arial" w:hAnsi="Arial" w:eastAsia="Arial" w:ascii="Arial"/>
          <w:rtl w:val="1"/>
        </w:rPr>
        <w:t xml:space="preserve">שתיקה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אורלי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ידין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1998),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ריאן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כריס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לנדרת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2004),"</w:t>
      </w:r>
      <w:r w:rsidRPr="00000000" w:rsidR="00000000" w:rsidDel="00000000">
        <w:rPr>
          <w:rFonts w:cs="Arial" w:hAnsi="Arial" w:eastAsia="Arial" w:ascii="Arial"/>
          <w:rtl w:val="1"/>
        </w:rPr>
        <w:t xml:space="preserve">ואלס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באשיר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ארי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פולמן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2008)</w:t>
      </w:r>
    </w:p>
    <w:p w:rsidP="00000000" w:rsidRPr="00000000" w:rsidR="00000000" w:rsidDel="00000000" w:rsidRDefault="00000000">
      <w:pPr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חלק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רביעי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אפקטים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מיוחדים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ותלת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מימד</w:t>
      </w:r>
    </w:p>
    <w:p w:rsidP="00000000" w:rsidRPr="00000000" w:rsidR="00000000" w:rsidDel="00000000" w:rsidRDefault="00000000">
      <w:pPr>
        <w:spacing w:lineRule="auto" w:line="276"/>
        <w:ind w:firstLine="5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שנים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עשר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טכנולוגיות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CGI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ואפקטים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דיגיטליים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-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חדש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כאן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למעשה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?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 "</w:t>
      </w:r>
      <w:r w:rsidRPr="00000000" w:rsidR="00000000" w:rsidDel="00000000">
        <w:rPr>
          <w:rFonts w:cs="Arial" w:hAnsi="Arial" w:eastAsia="Arial" w:ascii="Arial"/>
          <w:rtl w:val="1"/>
        </w:rPr>
        <w:t xml:space="preserve">מלחמת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הכוכבים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ורג</w:t>
      </w:r>
      <w:r w:rsidRPr="00000000" w:rsidR="00000000" w:rsidDel="00000000">
        <w:rPr>
          <w:rFonts w:cs="Arial" w:hAnsi="Arial" w:eastAsia="Arial" w:ascii="Arial"/>
          <w:rtl w:val="1"/>
        </w:rPr>
        <w:t xml:space="preserve">' </w:t>
      </w:r>
      <w:r w:rsidRPr="00000000" w:rsidR="00000000" w:rsidDel="00000000">
        <w:rPr>
          <w:rFonts w:cs="Arial" w:hAnsi="Arial" w:eastAsia="Arial" w:ascii="Arial"/>
          <w:rtl w:val="1"/>
        </w:rPr>
        <w:t xml:space="preserve">לוקאס</w:t>
      </w:r>
      <w:r w:rsidRPr="00000000" w:rsidR="00000000" w:rsidDel="00000000">
        <w:rPr>
          <w:rFonts w:cs="Arial" w:hAnsi="Arial" w:eastAsia="Arial" w:ascii="Arial"/>
          <w:rtl w:val="1"/>
        </w:rPr>
        <w:t xml:space="preserve">, 1977),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המקרה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המעניין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בנג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בוטון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דייויד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פינצ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ר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2008),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קולאטרל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מייקל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מן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2004)</w:t>
      </w:r>
    </w:p>
    <w:p w:rsidP="00000000" w:rsidRPr="00000000" w:rsidR="00000000" w:rsidDel="00000000" w:rsidRDefault="00000000">
      <w:pPr>
        <w:spacing w:lineRule="auto" w:line="276"/>
        <w:ind w:firstLine="5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מפגש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שלושה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עשר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טכנולוגיית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התלת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מימד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פנומנולוגיה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קולנועית</w:t>
      </w:r>
    </w:p>
    <w:p w:rsidP="00000000" w:rsidRPr="00000000" w:rsidR="00000000" w:rsidDel="00000000" w:rsidRDefault="00000000">
      <w:pPr>
        <w:bidi w:val="1"/>
        <w:spacing w:lineRule="auto" w:line="276"/>
        <w:ind w:left="0" w:firstLine="0"/>
      </w:pPr>
      <w:r w:rsidRPr="00000000" w:rsidR="00000000" w:rsidDel="00000000">
        <w:rPr>
          <w:rFonts w:cs="Arial" w:hAnsi="Arial" w:eastAsia="Arial" w:ascii="Arial"/>
          <w:rtl w:val="1"/>
        </w:rPr>
        <w:t xml:space="preserve">הקרנת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אוואטר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יימס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קמרון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2009),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מערת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החלומות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הנשכחים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ורנר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הרצוג</w:t>
      </w:r>
      <w:r w:rsidRPr="00000000" w:rsidR="00000000" w:rsidDel="00000000">
        <w:rPr>
          <w:rFonts w:cs="Arial" w:hAnsi="Arial" w:eastAsia="Arial" w:ascii="Arial"/>
          <w:rtl w:val="1"/>
        </w:rPr>
        <w:t xml:space="preserve">, 2011), "</w:t>
      </w:r>
      <w:r w:rsidRPr="00000000" w:rsidR="00000000" w:rsidDel="00000000">
        <w:rPr>
          <w:rFonts w:cs="Arial" w:hAnsi="Arial" w:eastAsia="Arial" w:ascii="Arial"/>
          <w:rtl w:val="1"/>
        </w:rPr>
        <w:t xml:space="preserve">פינה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וים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ונדרס</w:t>
      </w:r>
      <w:r w:rsidRPr="00000000" w:rsidR="00000000" w:rsidDel="00000000">
        <w:rPr>
          <w:rFonts w:cs="Arial" w:hAnsi="Arial" w:eastAsia="Arial" w:ascii="Arial"/>
          <w:rtl w:val="1"/>
        </w:rPr>
        <w:t xml:space="preserve">, 2011)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התפלגות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הציון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הסופי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20%</w:t>
        <w:tab/>
      </w:r>
      <w:r w:rsidRPr="00000000" w:rsidR="00000000" w:rsidDel="00000000">
        <w:rPr>
          <w:rFonts w:cs="Arial" w:hAnsi="Arial" w:eastAsia="Arial" w:ascii="Arial"/>
          <w:rtl w:val="1"/>
        </w:rPr>
        <w:t xml:space="preserve">נוכחות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סדירה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והשתתפות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פעילה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בדיונים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20%</w:t>
        <w:tab/>
      </w: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שוטפת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והגשת</w:t>
      </w:r>
      <w:r w:rsidRPr="00000000" w:rsidR="00000000" w:rsidDel="00000000">
        <w:rPr>
          <w:rFonts w:cs="Arial" w:hAnsi="Arial" w:eastAsia="Arial" w:ascii="Arial"/>
          <w:rtl w:val="1"/>
        </w:rPr>
        <w:t xml:space="preserve">/</w:t>
      </w:r>
      <w:r w:rsidRPr="00000000" w:rsidR="00000000" w:rsidDel="00000000">
        <w:rPr>
          <w:rFonts w:cs="Arial" w:hAnsi="Arial" w:eastAsia="Arial" w:ascii="Arial"/>
          <w:rtl w:val="1"/>
        </w:rPr>
        <w:t xml:space="preserve">הצגת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דו</w:t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חות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קצרים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60%</w:t>
        <w:tab/>
      </w:r>
      <w:r w:rsidRPr="00000000" w:rsidR="00000000" w:rsidDel="00000000">
        <w:rPr>
          <w:rFonts w:cs="Arial" w:hAnsi="Arial" w:eastAsia="Arial" w:ascii="Arial"/>
          <w:rtl w:val="1"/>
        </w:rPr>
        <w:t xml:space="preserve">עבודת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גמר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spacing w:lineRule="auto" w:line="276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שעות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קבלה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בתיאום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מראש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firstLine="2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פרו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ס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קולנוע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דיגיטלי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עכשווי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אוהד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לנדסמן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),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סמסטר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א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',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תשע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ג</w:t>
      </w:r>
    </w:p>
    <w:p w:rsidP="00000000" w:rsidRPr="00000000" w:rsidR="00000000" w:rsidDel="00000000" w:rsidRDefault="00000000">
      <w:pPr>
        <w:bidi w:val="1"/>
        <w:spacing w:lineRule="auto" w:line="276"/>
        <w:ind w:firstLine="2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רשימת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קריאת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חובה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מחולקת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פי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8"/>
          <w:rtl w:val="1"/>
        </w:rPr>
        <w:t xml:space="preserve">שיעורים</w:t>
      </w:r>
    </w:p>
    <w:p w:rsidP="00000000" w:rsidRPr="00000000" w:rsidR="00000000" w:rsidDel="00000000" w:rsidRDefault="00000000">
      <w:pPr>
        <w:bidi w:val="1"/>
        <w:spacing w:lineRule="auto" w:line="276"/>
        <w:ind w:firstLine="20"/>
        <w:jc w:val="center"/>
      </w:pP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יש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לקרוא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כל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המאמרים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לפני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השיעור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הרלוונטי</w:t>
      </w:r>
    </w:p>
    <w:p w:rsidP="00000000" w:rsidRPr="00000000" w:rsidR="00000000" w:rsidDel="00000000" w:rsidRDefault="00000000">
      <w:pPr>
        <w:bidi w:val="1"/>
        <w:spacing w:lineRule="auto" w:line="276"/>
        <w:ind w:firstLine="20"/>
        <w:jc w:val="center"/>
      </w:pPr>
      <w:r w:rsidRPr="00000000" w:rsidR="00000000" w:rsidDel="00000000">
        <w:rPr>
          <w:rtl w:val="0"/>
        </w:rPr>
      </w:r>
    </w:p>
    <w:tbl>
      <w:tblPr>
        <w:tblW w:w="8306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106"/>
        <w:gridCol w:w="3015"/>
        <w:gridCol w:w="4185"/>
        <w:gridCol w:w="0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שיעור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נושא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מאמר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מבוא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-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בחזרה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לעתיד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אין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קריאה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הדימוי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הפילמאי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מול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הדימוי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הדיגיטלי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Manovich, Lev. “What Is Digital Cinema?” 1995. Web. 28 Aug. 2012.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מהו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הקולנוע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הדיגיטלי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?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חזונות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אפוקליפטיים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Godard, Jean-Luc. “The Future of Cinema.”</w:t>
            </w:r>
          </w:p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Wenders, Wim. “What the New Technologies Offer.”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לקראת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אסתטיקה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חדשה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בקולנוע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הדיגיטלי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העצמאי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Hoberman, J. "The New Realness"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Film After Film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. New York: Verso, 2012.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דוגמה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95"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Gaut, Berys. “Naked Film: Dogma and its Limits.”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Purity and Provocation: Dogma 95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. Eds. Mette Hjort and Scott MacKenzie. London: BFI Publishing, 2003. 89-101.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הקולנוע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ההיברידי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: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בין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בדיון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לתיעוד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Landesman, Ohad. “In and Out of This World: Digital Video and the Aesthetics of Realism in the New Hybrid Documentary.”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Studies in Documentary Film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2:1, 2008: 33-45.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האידאולוגיה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של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הטייק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הארוך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הדיגיטלי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Bazin, Andre.  “The Evolution of the Language of Cinema”.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What is Cinema? Vol. I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. Berkeley: U of California P, 1967.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אסתטיקה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חובבנית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ופנמנולוגיה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של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אימה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Tyron, Chuck. “Video from the Void: Video Spectatorship, Domestic Film Culture, and the Contemporary Horror Film.”</w:t>
            </w:r>
          </w:p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Journal of Film and Video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61:3 (Fall 2009) 40-5.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קירבה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ואינטימיות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דיגיטלית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Johnson, David. “You Must Never Listen to This”: Lessons on Sound, Cinema, and Mortality from Herzog’s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Grizzly Man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.”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Film Criticism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32.3 (Spring 2008): 68-82.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מהפכת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המיחשוב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באנימציה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דיגיטלית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Schaffer, William. “The Importance of Being Plastic: The Feel of Pixar.”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Animation Journal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12 (2004): 72-95.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אנימציה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תיעודית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540" w:hanging="519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Roe, Annabelle Honess. “Absence, Excess and Epistemological Expansion: Towards a Framework for the Study of Animated Documentary.”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Animation: An Interdisciplinary Journal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6:3 (November 2011): 215-230.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טכנולוגיית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CGI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ואפקטים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דיגיטליים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Prince, Stephen. “True Lies: Perceptual Realism, Digital Images, and Film Theory.”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Film Quarterly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49.3 (Spring 1996): 27-38. Print.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טכנולוגיית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התלת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rtl w:val="1"/>
              </w:rPr>
              <w:t xml:space="preserve">מימד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firstLine="2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Belton, John. “Digital 3D Cinema: Digital Cinema’s Missing Novelty Phase.” 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Film History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24 (2012): 187-195. Print.</w:t>
            </w:r>
          </w:p>
        </w:tc>
      </w:tr>
    </w:tbl>
    <w:p w:rsidP="00000000" w:rsidRPr="00000000" w:rsidR="00000000" w:rsidDel="00000000" w:rsidRDefault="00000000">
      <w:pPr>
        <w:spacing w:lineRule="auto" w:line="276"/>
        <w:ind w:firstLine="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ind w:firstLine="2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(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כל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הקריאות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בפורמט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PDF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באתר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sz w:val="28"/>
          <w:rtl w:val="1"/>
        </w:rPr>
        <w:t xml:space="preserve">)</w:t>
      </w:r>
    </w:p>
    <w:p w:rsidP="00000000" w:rsidRPr="00000000" w:rsidR="00000000" w:rsidDel="00000000" w:rsidRDefault="00000000">
      <w:pPr>
        <w:spacing w:lineRule="auto" w:line="276"/>
        <w:ind w:firstLine="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footerReference r:id="rId6" w:type="default"/>
      <w:pgSz w:w="11906" w:h="16838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fldSimple w:dirty="0" w:instr="PAGE" w:fldLock="0">
      <w:r w:rsidRPr="00000000" w:rsidR="00000000" w:rsidDel="00000000">
        <w:rPr>
          <w:rFonts w:cs="Arial" w:hAnsi="Arial" w:eastAsia="Arial" w:ascii="Arial"/>
          <w:sz w:val="22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פרו"ס_קולנוע בעידן הדיגיטלי_בצלאל_תשעג.docx</dc:title>
</cp:coreProperties>
</file>