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bidi w:val="1"/>
        <w:jc w:val="right"/>
      </w:pPr>
      <w:r w:rsidRPr="00000000" w:rsidR="00000000" w:rsidDel="00000000">
        <w:drawing>
          <wp:inline>
            <wp:extent cy="1171346" cx="2962656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171346" cx="2962656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sz w:val="36"/>
          <w:rtl w:val="1"/>
        </w:rPr>
        <w:t xml:space="preserve">להבין</w:t>
      </w:r>
      <w:r w:rsidRPr="00000000" w:rsidR="00000000" w:rsidDel="00000000">
        <w:rPr>
          <w:rFonts w:cs="Arial" w:hAnsi="Arial" w:eastAsia="Arial" w:ascii="Arial"/>
          <w:sz w:val="36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36"/>
          <w:rtl w:val="1"/>
        </w:rPr>
        <w:t xml:space="preserve">אנימציה</w:t>
      </w:r>
      <w:r w:rsidRPr="00000000" w:rsidR="00000000" w:rsidDel="00000000">
        <w:rPr>
          <w:rFonts w:cs="Arial" w:hAnsi="Arial" w:eastAsia="Arial" w:ascii="Arial"/>
          <w:sz w:val="36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sz w:val="36"/>
          <w:rtl w:val="0"/>
        </w:rPr>
        <w:t xml:space="preserve">Understanding Animation 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rtl w:val="1"/>
        </w:rPr>
        <w:t xml:space="preserve">מרצה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ד</w:t>
      </w:r>
      <w:r w:rsidRPr="00000000" w:rsidR="00000000" w:rsidDel="00000000">
        <w:rPr>
          <w:rFonts w:cs="Arial" w:hAnsi="Arial" w:eastAsia="Arial" w:ascii="Arial"/>
          <w:rtl w:val="1"/>
        </w:rPr>
        <w:t xml:space="preserve">”</w:t>
      </w:r>
      <w:r w:rsidRPr="00000000" w:rsidR="00000000" w:rsidDel="00000000">
        <w:rPr>
          <w:rFonts w:cs="Arial" w:hAnsi="Arial" w:eastAsia="Arial" w:ascii="Arial"/>
          <w:rtl w:val="1"/>
        </w:rPr>
        <w:t xml:space="preserve">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אוהד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לנדסמן</w:t>
      </w:r>
    </w:p>
    <w:p w:rsidP="00000000" w:rsidRPr="00000000" w:rsidR="00000000" w:rsidDel="00000000" w:rsidRDefault="00000000">
      <w:pPr>
        <w:bidi w:val="1"/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landesman@post.bezalel.ac.il</w:t>
      </w:r>
    </w:p>
    <w:p w:rsidP="00000000" w:rsidRPr="00000000" w:rsidR="00000000" w:rsidDel="00000000" w:rsidRDefault="00000000">
      <w:pPr>
        <w:spacing w:lineRule="auto" w:line="276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jc w:val="left"/>
      </w:pPr>
      <w:r w:rsidRPr="00000000" w:rsidR="00000000" w:rsidDel="00000000">
        <w:rPr>
          <w:rFonts w:cs="Arial" w:hAnsi="Arial" w:eastAsia="Arial" w:ascii="Arial"/>
          <w:rtl w:val="1"/>
        </w:rPr>
        <w:t xml:space="preserve">סוג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חובה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היקף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סמסטריאלי</w:t>
      </w:r>
      <w:r w:rsidRPr="00000000" w:rsidR="00000000" w:rsidDel="00000000">
        <w:rPr>
          <w:rFonts w:cs="Arial" w:hAnsi="Arial" w:eastAsia="Arial" w:ascii="Arial"/>
          <w:rtl w:val="1"/>
        </w:rPr>
        <w:t xml:space="preserve">, 1 </w:t>
      </w:r>
      <w:r w:rsidRPr="00000000" w:rsidR="00000000" w:rsidDel="00000000">
        <w:rPr>
          <w:rFonts w:cs="Arial" w:hAnsi="Arial" w:eastAsia="Arial" w:ascii="Arial"/>
          <w:rtl w:val="1"/>
        </w:rPr>
        <w:t xml:space="preserve">נ</w:t>
      </w:r>
      <w:r w:rsidRPr="00000000" w:rsidR="00000000" w:rsidDel="00000000">
        <w:rPr>
          <w:rFonts w:cs="Arial" w:hAnsi="Arial" w:eastAsia="Arial" w:ascii="Arial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rtl w:val="1"/>
        </w:rPr>
        <w:t xml:space="preserve">ז</w:t>
      </w:r>
    </w:p>
    <w:p w:rsidP="00000000" w:rsidRPr="00000000" w:rsidR="00000000" w:rsidDel="00000000" w:rsidRDefault="00000000">
      <w:pPr>
        <w:spacing w:lineRule="auto" w:line="276"/>
        <w:jc w:val="right"/>
      </w:pPr>
      <w:r w:rsidRPr="00000000" w:rsidR="00000000" w:rsidDel="00000000">
        <w:rPr>
          <w:rFonts w:cs="Arial" w:hAnsi="Arial" w:eastAsia="Arial" w:ascii="Arial"/>
          <w:rtl w:val="1"/>
        </w:rPr>
        <w:t xml:space="preserve">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מתוקשב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כן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תיאור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: 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ab/>
        <w:t xml:space="preserve"> </w:t>
        <w:tab/>
      </w:r>
    </w:p>
    <w:p w:rsidP="00000000" w:rsidRPr="00000000" w:rsidR="00000000" w:rsidDel="00000000" w:rsidRDefault="00000000">
      <w:pPr>
        <w:spacing w:lineRule="auto" w:line="276"/>
        <w:jc w:val="right"/>
      </w:pPr>
      <w:r w:rsidRPr="00000000" w:rsidR="00000000" w:rsidDel="00000000">
        <w:rPr>
          <w:rFonts w:cs="Arial" w:hAnsi="Arial" w:eastAsia="Arial" w:ascii="Arial"/>
          <w:rtl w:val="1"/>
        </w:rPr>
        <w:t xml:space="preserve">במסגרת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זה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ננסה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למעשה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אנימציה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שונה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באופן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מהותי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מהסרט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המצולם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ומדוע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יש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ההיסטוריה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כחלק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ההיסטוריה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המדיום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הקולנועי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נדון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בשאלות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תיאורטיות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הנוגעות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לאסתטיקה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האנימציה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כגון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ניתן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לדבר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ריאליזם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בסגנון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עשייה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אשר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בבסיסו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מפוברק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וכיצד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הביאה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תופעת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</w:t>
      </w:r>
      <w:r w:rsidRPr="00000000" w:rsidR="00000000" w:rsidDel="00000000">
        <w:rPr>
          <w:rFonts w:cs="Arial" w:hAnsi="Arial" w:eastAsia="Arial" w:ascii="Arial"/>
          <w:rtl w:val="1"/>
        </w:rPr>
        <w:t xml:space="preserve">“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דיסניפיקציה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“ </w:t>
      </w:r>
      <w:r w:rsidRPr="00000000" w:rsidR="00000000" w:rsidDel="00000000">
        <w:rPr>
          <w:rFonts w:cs="Arial" w:hAnsi="Arial" w:eastAsia="Arial" w:ascii="Arial"/>
          <w:rtl w:val="1"/>
        </w:rPr>
        <w:t xml:space="preserve">הכה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דומיננטית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לסגנון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</w:t>
      </w:r>
      <w:r w:rsidRPr="00000000" w:rsidR="00000000" w:rsidDel="00000000">
        <w:rPr>
          <w:rFonts w:cs="Arial" w:hAnsi="Arial" w:eastAsia="Arial" w:ascii="Arial"/>
          <w:rtl w:val="1"/>
        </w:rPr>
        <w:t xml:space="preserve">“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היפר</w:t>
      </w:r>
      <w:r w:rsidRPr="00000000" w:rsidR="00000000" w:rsidDel="00000000">
        <w:rPr>
          <w:rFonts w:cs="Arial" w:hAnsi="Arial" w:eastAsia="Arial" w:ascii="Arial"/>
          <w:rtl w:val="0"/>
        </w:rPr>
        <w:t xml:space="preserve">“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rtl w:val="1"/>
        </w:rPr>
        <w:t xml:space="preserve">ריאליסטי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באנימציה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?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האסטרטגיות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הנראטיביות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והאסתטיות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המיוחדות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לאנימציה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וכיצד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לידי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ביטוי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בשילובה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המצולם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בתרומתה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הדוקומנטרי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?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כיצד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יש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תפקידו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הרטורי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הסאונד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המלווה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התמונה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האנימטורית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?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משמעותן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ההתפתחויות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הדיגיטליות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האחרונות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בתחום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וכיצד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משכללות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שפת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האנימציה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? </w:t>
      </w:r>
      <w:r w:rsidRPr="00000000" w:rsidR="00000000" w:rsidDel="00000000">
        <w:rPr>
          <w:rFonts w:cs="Arial" w:hAnsi="Arial" w:eastAsia="Arial" w:ascii="Arial"/>
          <w:rtl w:val="1"/>
        </w:rPr>
        <w:t xml:space="preserve">כחלק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מהדיון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התיאורטי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נעבור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בתחנות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היסטוריות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שונות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בהתפתחותה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האנימציה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מהצעצועים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האופטיים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הטרום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קולנועיים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וניסוייו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אדוארד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מייברידג</w:t>
      </w:r>
      <w:r w:rsidRPr="00000000" w:rsidR="00000000" w:rsidDel="00000000">
        <w:rPr>
          <w:rFonts w:cs="Arial" w:hAnsi="Arial" w:eastAsia="Arial" w:ascii="Arial"/>
          <w:rtl w:val="1"/>
        </w:rPr>
        <w:t xml:space="preserve">‘ </w:t>
      </w:r>
      <w:r w:rsidRPr="00000000" w:rsidR="00000000" w:rsidDel="00000000">
        <w:rPr>
          <w:rFonts w:cs="Arial" w:hAnsi="Arial" w:eastAsia="Arial" w:ascii="Arial"/>
          <w:rtl w:val="1"/>
        </w:rPr>
        <w:t xml:space="preserve">במאה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-19, </w:t>
      </w:r>
      <w:r w:rsidRPr="00000000" w:rsidR="00000000" w:rsidDel="00000000">
        <w:rPr>
          <w:rFonts w:cs="Arial" w:hAnsi="Arial" w:eastAsia="Arial" w:ascii="Arial"/>
          <w:rtl w:val="1"/>
        </w:rPr>
        <w:t xml:space="preserve">דרך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הניסיונית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והאבסטרקטית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ועד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למהפכת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המחשוב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הדיגיטלית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הופעתה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”</w:t>
      </w:r>
      <w:r w:rsidRPr="00000000" w:rsidR="00000000" w:rsidDel="00000000">
        <w:rPr>
          <w:rFonts w:cs="Arial" w:hAnsi="Arial" w:eastAsia="Arial" w:ascii="Arial"/>
          <w:rtl w:val="1"/>
        </w:rPr>
        <w:t xml:space="preserve">פיקסאר</w:t>
      </w:r>
      <w:r w:rsidRPr="00000000" w:rsidR="00000000" w:rsidDel="00000000">
        <w:rPr>
          <w:rFonts w:cs="Arial" w:hAnsi="Arial" w:eastAsia="Arial" w:ascii="Arial"/>
          <w:rtl w:val="0"/>
        </w:rPr>
        <w:t xml:space="preserve">“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ההרצאות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תלוונה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בהקרנת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סרטוני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קצרים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ובקריאות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שבועיות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נושאי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line="276"/>
        <w:ind w:left="720" w:hanging="359"/>
      </w:pPr>
      <w:r w:rsidRPr="00000000" w:rsidR="00000000" w:rsidDel="00000000">
        <w:rPr>
          <w:rFonts w:cs="Arial" w:hAnsi="Arial" w:eastAsia="Arial" w:ascii="Arial"/>
          <w:rtl w:val="1"/>
        </w:rPr>
        <w:t xml:space="preserve">מהי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וכיצד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נבדלת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?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line="276"/>
        <w:ind w:left="720" w:hanging="359"/>
      </w:pPr>
      <w:r w:rsidRPr="00000000" w:rsidR="00000000" w:rsidDel="00000000">
        <w:rPr>
          <w:rFonts w:cs="Arial" w:hAnsi="Arial" w:eastAsia="Arial" w:ascii="Arial"/>
          <w:rtl w:val="1"/>
        </w:rPr>
        <w:t xml:space="preserve">התפתחותה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המוקדמת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בראשית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ימי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line="276"/>
        <w:ind w:left="720" w:hanging="359"/>
      </w:pPr>
      <w:r w:rsidRPr="00000000" w:rsidR="00000000" w:rsidDel="00000000">
        <w:rPr>
          <w:rFonts w:cs="Arial" w:hAnsi="Arial" w:eastAsia="Arial" w:ascii="Arial"/>
          <w:rtl w:val="1"/>
        </w:rPr>
        <w:t xml:space="preserve">ההבדלים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קלאסית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ניסיונית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ומתפתחת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line="276"/>
        <w:ind w:left="720" w:hanging="359"/>
      </w:pPr>
      <w:r w:rsidRPr="00000000" w:rsidR="00000000" w:rsidDel="00000000">
        <w:rPr>
          <w:rFonts w:cs="Arial" w:hAnsi="Arial" w:eastAsia="Arial" w:ascii="Arial"/>
          <w:rtl w:val="1"/>
        </w:rPr>
        <w:t xml:space="preserve">אסטרטגיות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נראטיביות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rtl w:val="1"/>
        </w:rPr>
        <w:t xml:space="preserve">מטאמורפוזה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יחסים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אסוציאטיביים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צמצום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נראטיבי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פיברוק</w:t>
      </w:r>
      <w:r w:rsidRPr="00000000" w:rsidR="00000000" w:rsidDel="00000000">
        <w:rPr>
          <w:rFonts w:cs="Arial" w:hAnsi="Arial" w:eastAsia="Arial" w:ascii="Arial"/>
          <w:rtl w:val="1"/>
        </w:rPr>
        <w:t xml:space="preserve">).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Fonts w:cs="Arial" w:hAnsi="Arial" w:eastAsia="Arial" w:ascii="Arial"/>
          <w:rtl w:val="1"/>
        </w:rPr>
        <w:t xml:space="preserve">ריאליזם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והמקרה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המיוחד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דיסני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line="276"/>
        <w:ind w:left="720" w:hanging="359"/>
      </w:pPr>
      <w:r w:rsidRPr="00000000" w:rsidR="00000000" w:rsidDel="00000000">
        <w:rPr>
          <w:rFonts w:cs="Arial" w:hAnsi="Arial" w:eastAsia="Arial" w:ascii="Arial"/>
          <w:rtl w:val="1"/>
        </w:rPr>
        <w:t xml:space="preserve">סאונד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והדימוי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האנימטורי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line="276"/>
        <w:ind w:left="720" w:hanging="359"/>
      </w:pPr>
      <w:r w:rsidRPr="00000000" w:rsidR="00000000" w:rsidDel="00000000">
        <w:rPr>
          <w:rFonts w:cs="Arial" w:hAnsi="Arial" w:eastAsia="Arial" w:ascii="Arial"/>
          <w:rtl w:val="1"/>
        </w:rPr>
        <w:t xml:space="preserve">דרכים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שונות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ליצירת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הומור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Fonts w:cs="Arial" w:hAnsi="Arial" w:eastAsia="Arial" w:ascii="Arial"/>
          <w:rtl w:val="1"/>
        </w:rPr>
        <w:t xml:space="preserve">מהפכת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המחשוב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והופעתה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פיקסאר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line="276"/>
        <w:ind w:left="720" w:hanging="359"/>
      </w:pPr>
      <w:r w:rsidRPr="00000000" w:rsidR="00000000" w:rsidDel="00000000">
        <w:rPr>
          <w:rFonts w:cs="Arial" w:hAnsi="Arial" w:eastAsia="Arial" w:ascii="Arial"/>
          <w:rtl w:val="1"/>
        </w:rPr>
        <w:t xml:space="preserve">פנומנולוגית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הקשר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גוף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הצופה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לגוף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המסך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Fonts w:cs="Arial" w:hAnsi="Arial" w:eastAsia="Arial" w:ascii="Arial"/>
          <w:rtl w:val="1"/>
        </w:rPr>
        <w:t xml:space="preserve">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דוקומנטרית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במהלך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ההרצאות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ישולבו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סרטי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קצרים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וביניהם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סרטים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יוצרים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כגון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ווינסור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מקיי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יורי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נורשטיין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לן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ליי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נורמן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מקלרן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צ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אק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ונס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לאסטר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האחים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קווי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האבלי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טים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ברטון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וולט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דיסני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ניק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פארק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כריס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לנדרת</w:t>
      </w:r>
      <w:r w:rsidRPr="00000000" w:rsidR="00000000" w:rsidDel="00000000">
        <w:rPr>
          <w:rFonts w:cs="Arial" w:hAnsi="Arial" w:eastAsia="Arial" w:ascii="Arial"/>
          <w:rtl w:val="1"/>
        </w:rPr>
        <w:t xml:space="preserve">', </w:t>
      </w:r>
      <w:r w:rsidRPr="00000000" w:rsidR="00000000" w:rsidDel="00000000">
        <w:rPr>
          <w:rFonts w:cs="Arial" w:hAnsi="Arial" w:eastAsia="Arial" w:ascii="Arial"/>
          <w:rtl w:val="1"/>
        </w:rPr>
        <w:t xml:space="preserve">ריאן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לארקין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ביל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פלימפטון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ועוד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התפלגות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הציון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הסופי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10%: </w:t>
      </w:r>
      <w:r w:rsidRPr="00000000" w:rsidR="00000000" w:rsidDel="00000000">
        <w:rPr>
          <w:rFonts w:cs="Arial" w:hAnsi="Arial" w:eastAsia="Arial" w:ascii="Arial"/>
          <w:rtl w:val="1"/>
        </w:rPr>
        <w:t xml:space="preserve">השתתפות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10%: </w:t>
      </w:r>
      <w:r w:rsidRPr="00000000" w:rsidR="00000000" w:rsidDel="00000000">
        <w:rPr>
          <w:rFonts w:cs="Arial" w:hAnsi="Arial" w:eastAsia="Arial" w:ascii="Arial"/>
          <w:rtl w:val="1"/>
        </w:rPr>
        <w:t xml:space="preserve">נוכחות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80%: </w:t>
      </w:r>
      <w:r w:rsidRPr="00000000" w:rsidR="00000000" w:rsidDel="00000000">
        <w:rPr>
          <w:rFonts w:cs="Arial" w:hAnsi="Arial" w:eastAsia="Arial" w:ascii="Arial"/>
          <w:rtl w:val="1"/>
        </w:rPr>
        <w:t xml:space="preserve">בחינה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מסכמת</w:t>
      </w:r>
      <w:r w:rsidRPr="00000000" w:rsidR="00000000" w:rsidDel="00000000">
        <w:rPr>
          <w:rFonts w:cs="Arial" w:hAnsi="Arial" w:eastAsia="Arial" w:ascii="Arial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rtl w:val="1"/>
        </w:rPr>
        <w:t xml:space="preserve">מבוססת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ההרצאות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ההקרנות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וקריאות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החובה</w:t>
      </w:r>
      <w:r w:rsidRPr="00000000" w:rsidR="00000000" w:rsidDel="00000000">
        <w:rPr>
          <w:rFonts w:cs="Arial" w:hAnsi="Arial" w:eastAsia="Arial" w:ascii="Arial"/>
          <w:rtl w:val="1"/>
        </w:rPr>
        <w:t xml:space="preserve">)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ביבליוגרפית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חובה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Crafton, Donald.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Before Mickey: The Animated Film 1898-1928</w:t>
      </w:r>
      <w:r w:rsidRPr="00000000" w:rsidR="00000000" w:rsidDel="00000000">
        <w:rPr>
          <w:rFonts w:cs="Arial" w:hAnsi="Arial" w:eastAsia="Arial" w:ascii="Arial"/>
          <w:rtl w:val="0"/>
        </w:rPr>
        <w:t xml:space="preserve">. University of Chicago Press, 1993.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Furniss, Maureen.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Art in Motion: Animation Aesthetics. </w:t>
      </w:r>
      <w:r w:rsidRPr="00000000" w:rsidR="00000000" w:rsidDel="00000000">
        <w:rPr>
          <w:rFonts w:cs="Arial" w:hAnsi="Arial" w:eastAsia="Arial" w:ascii="Arial"/>
          <w:rtl w:val="0"/>
        </w:rPr>
        <w:t xml:space="preserve">London: John Libbey &amp; Company, 2009.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Martin, Leonard.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Of Mice and Magic: A History of American Animated Cartoons. </w:t>
      </w:r>
      <w:r w:rsidRPr="00000000" w:rsidR="00000000" w:rsidDel="00000000">
        <w:rPr>
          <w:rFonts w:cs="Arial" w:hAnsi="Arial" w:eastAsia="Arial" w:ascii="Arial"/>
          <w:rtl w:val="0"/>
        </w:rPr>
        <w:t xml:space="preserve">Plume Publishing, 1987.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Pilling, Jayne (ed.).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A Reader in Animation Studies</w:t>
      </w:r>
      <w:r w:rsidRPr="00000000" w:rsidR="00000000" w:rsidDel="00000000">
        <w:rPr>
          <w:rFonts w:cs="Arial" w:hAnsi="Arial" w:eastAsia="Arial" w:ascii="Arial"/>
          <w:rtl w:val="0"/>
        </w:rPr>
        <w:t xml:space="preserve">. Minneapolis: Indiana University Press, 1998.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Wells, Paul.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Animation: Genre and Authorship</w:t>
      </w:r>
      <w:r w:rsidRPr="00000000" w:rsidR="00000000" w:rsidDel="00000000">
        <w:rPr>
          <w:rFonts w:cs="Arial" w:hAnsi="Arial" w:eastAsia="Arial" w:ascii="Arial"/>
          <w:rtl w:val="0"/>
        </w:rPr>
        <w:t xml:space="preserve">. London: Wallflower Press, 2002.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חלקים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ספרים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ואחרים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יושמו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בפורמט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PDF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באתר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והודעות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תינתנה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במהלך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המאמרים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יש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לקרוא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לפני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ההרצאות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בהתאם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להנחיות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ביבליוגרפית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רשות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Cholodenko, Alan.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The Illusion of Life II: More Essays on Animation</w:t>
      </w:r>
      <w:r w:rsidRPr="00000000" w:rsidR="00000000" w:rsidDel="00000000">
        <w:rPr>
          <w:rFonts w:cs="Arial" w:hAnsi="Arial" w:eastAsia="Arial" w:ascii="Arial"/>
          <w:rtl w:val="0"/>
        </w:rPr>
        <w:t xml:space="preserve">. Power Publications, 2011.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Klein, Norman M.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7 Minutes: The Life and Death of the American Animated Cartoon</w:t>
      </w:r>
      <w:r w:rsidRPr="00000000" w:rsidR="00000000" w:rsidDel="00000000">
        <w:rPr>
          <w:rFonts w:cs="Arial" w:hAnsi="Arial" w:eastAsia="Arial" w:ascii="Arial"/>
          <w:rtl w:val="0"/>
        </w:rPr>
        <w:t xml:space="preserve">. London: Verso, 1993.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Furniss, Maureen.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Animation: Art and Industry</w:t>
      </w:r>
      <w:r w:rsidRPr="00000000" w:rsidR="00000000" w:rsidDel="00000000">
        <w:rPr>
          <w:rFonts w:cs="Arial" w:hAnsi="Arial" w:eastAsia="Arial" w:ascii="Arial"/>
          <w:rtl w:val="0"/>
        </w:rPr>
        <w:t xml:space="preserve">. Minneapolis: Indiana University Press, 2009.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Leslie, Esther.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Hollywood Flatlands: Animation, Critical Theory and the Avant Garde. </w:t>
      </w:r>
      <w:r w:rsidRPr="00000000" w:rsidR="00000000" w:rsidDel="00000000">
        <w:rPr>
          <w:rFonts w:cs="Arial" w:hAnsi="Arial" w:eastAsia="Arial" w:ascii="Arial"/>
          <w:rtl w:val="0"/>
        </w:rPr>
        <w:t xml:space="preserve">Verso, 2004.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Wells, Paul and Hardstaff Johnny.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Re-Imagining Animation: The Changing Face of Moving Image</w:t>
      </w:r>
      <w:r w:rsidRPr="00000000" w:rsidR="00000000" w:rsidDel="00000000">
        <w:rPr>
          <w:rFonts w:cs="Arial" w:hAnsi="Arial" w:eastAsia="Arial" w:ascii="Arial"/>
          <w:rtl w:val="0"/>
        </w:rPr>
        <w:t xml:space="preserve">. Ava Publishing, 2008.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שעות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קבלה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בתיאום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מראש</w:t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sectPr>
      <w:footerReference r:id="rId6" w:type="default"/>
      <w:pgSz w:w="11906" w:h="16838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fldSimple w:dirty="0" w:instr="PAGE" w:fldLock="0">
      <w:r w:rsidRPr="00000000" w:rsidR="00000000" w:rsidDel="00000000">
        <w:rPr>
          <w:rFonts w:cs="Arial" w:hAnsi="Arial" w:eastAsia="Arial" w:ascii="Arial"/>
          <w:sz w:val="22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פרשיית לימודים_בצלאל_להבין אנימציה_תשעד.docx</dc:title>
</cp:coreProperties>
</file>